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6E" w:rsidRPr="0048502B" w:rsidRDefault="00DB0B6E" w:rsidP="005A2704">
      <w:pPr>
        <w:spacing w:after="0" w:line="480" w:lineRule="auto"/>
        <w:rPr>
          <w:rFonts w:ascii="Arial" w:hAnsi="Arial" w:cs="Arial"/>
        </w:rPr>
      </w:pPr>
    </w:p>
    <w:p w:rsidR="00DB0B6E" w:rsidRPr="0048502B" w:rsidRDefault="00DB0B6E" w:rsidP="005A2704">
      <w:pPr>
        <w:spacing w:after="0" w:line="480" w:lineRule="auto"/>
        <w:rPr>
          <w:rFonts w:ascii="Arial" w:hAnsi="Arial" w:cs="Arial"/>
        </w:rPr>
      </w:pPr>
    </w:p>
    <w:p w:rsidR="009C15CC" w:rsidRPr="009C15CC" w:rsidRDefault="009C15CC" w:rsidP="005A2704">
      <w:pPr>
        <w:spacing w:after="0" w:line="480" w:lineRule="auto"/>
        <w:jc w:val="center"/>
        <w:rPr>
          <w:rFonts w:ascii="Arial" w:hAnsi="Arial" w:cs="Arial"/>
          <w:b/>
        </w:rPr>
      </w:pPr>
      <w:bookmarkStart w:id="0" w:name="_GoBack"/>
      <w:r w:rsidRPr="009C15CC">
        <w:rPr>
          <w:rStyle w:val="Strong"/>
          <w:rFonts w:ascii="Segoe UI" w:hAnsi="Segoe UI" w:cs="Segoe UI"/>
          <w:color w:val="404040"/>
          <w:shd w:val="clear" w:color="auto" w:fill="FFFFFF"/>
        </w:rPr>
        <w:t xml:space="preserve">Situation Background Assessment </w:t>
      </w:r>
      <w:r w:rsidRPr="009C15CC">
        <w:rPr>
          <w:rStyle w:val="Strong"/>
          <w:rFonts w:ascii="Segoe UI" w:hAnsi="Segoe UI" w:cs="Segoe UI"/>
          <w:color w:val="404040"/>
          <w:shd w:val="clear" w:color="auto" w:fill="FFFFFF"/>
        </w:rPr>
        <w:t>Recommendation</w:t>
      </w:r>
      <w:r>
        <w:rPr>
          <w:rStyle w:val="Strong"/>
          <w:rFonts w:ascii="Segoe UI" w:hAnsi="Segoe UI" w:cs="Segoe UI"/>
          <w:color w:val="404040"/>
          <w:shd w:val="clear" w:color="auto" w:fill="FFFFFF"/>
        </w:rPr>
        <w:t xml:space="preserve"> </w:t>
      </w:r>
      <w:r w:rsidRPr="009C15CC">
        <w:rPr>
          <w:rFonts w:ascii="Arial" w:hAnsi="Arial" w:cs="Arial"/>
          <w:b/>
        </w:rPr>
        <w:t>(SBAR) Report</w:t>
      </w:r>
    </w:p>
    <w:bookmarkEnd w:id="0"/>
    <w:p w:rsidR="0048502B" w:rsidRDefault="0048502B" w:rsidP="005A2704">
      <w:pPr>
        <w:spacing w:after="0" w:line="480" w:lineRule="auto"/>
        <w:jc w:val="center"/>
        <w:rPr>
          <w:rFonts w:ascii="Arial" w:hAnsi="Arial" w:cs="Arial"/>
        </w:rPr>
      </w:pPr>
      <w:r>
        <w:rPr>
          <w:rFonts w:ascii="Arial" w:hAnsi="Arial" w:cs="Arial"/>
        </w:rPr>
        <w:t>Student Name:</w:t>
      </w:r>
    </w:p>
    <w:p w:rsidR="0048502B" w:rsidRDefault="0048502B" w:rsidP="005A2704">
      <w:pPr>
        <w:spacing w:after="0" w:line="480" w:lineRule="auto"/>
        <w:jc w:val="center"/>
        <w:rPr>
          <w:rFonts w:ascii="Arial" w:hAnsi="Arial" w:cs="Arial"/>
        </w:rPr>
      </w:pPr>
      <w:r>
        <w:rPr>
          <w:rFonts w:ascii="Arial" w:hAnsi="Arial" w:cs="Arial"/>
        </w:rPr>
        <w:t>Course:</w:t>
      </w:r>
    </w:p>
    <w:p w:rsidR="0048502B" w:rsidRDefault="0048502B" w:rsidP="005A2704">
      <w:pPr>
        <w:spacing w:after="0" w:line="480" w:lineRule="auto"/>
        <w:jc w:val="center"/>
        <w:rPr>
          <w:rFonts w:ascii="Arial" w:hAnsi="Arial" w:cs="Arial"/>
        </w:rPr>
      </w:pPr>
      <w:r>
        <w:rPr>
          <w:rFonts w:ascii="Arial" w:hAnsi="Arial" w:cs="Arial"/>
        </w:rPr>
        <w:t>Institution:</w:t>
      </w:r>
    </w:p>
    <w:p w:rsidR="00DB0B6E" w:rsidRPr="0048502B" w:rsidRDefault="0048502B" w:rsidP="0048502B">
      <w:pPr>
        <w:spacing w:after="0" w:line="480" w:lineRule="auto"/>
        <w:jc w:val="center"/>
        <w:rPr>
          <w:rFonts w:ascii="Arial" w:hAnsi="Arial" w:cs="Arial"/>
        </w:rPr>
      </w:pPr>
      <w:r>
        <w:rPr>
          <w:rFonts w:ascii="Arial" w:hAnsi="Arial" w:cs="Arial"/>
        </w:rPr>
        <w:t>Date:</w:t>
      </w:r>
    </w:p>
    <w:p w:rsidR="00DB0B6E" w:rsidRPr="0048502B" w:rsidRDefault="00DB0B6E" w:rsidP="005A2704">
      <w:pPr>
        <w:spacing w:after="0" w:line="480" w:lineRule="auto"/>
        <w:rPr>
          <w:rFonts w:ascii="Arial" w:hAnsi="Arial" w:cs="Arial"/>
        </w:rPr>
      </w:pPr>
    </w:p>
    <w:p w:rsidR="00DB0B6E" w:rsidRPr="0048502B" w:rsidRDefault="00DB0B6E" w:rsidP="005A2704">
      <w:pPr>
        <w:spacing w:after="0" w:line="480" w:lineRule="auto"/>
        <w:rPr>
          <w:rFonts w:ascii="Arial" w:hAnsi="Arial" w:cs="Arial"/>
        </w:rPr>
      </w:pPr>
    </w:p>
    <w:p w:rsidR="00DB0B6E" w:rsidRPr="0048502B" w:rsidRDefault="00DB0B6E"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DB0B6E" w:rsidRDefault="00DB0B6E" w:rsidP="005A2704">
      <w:pPr>
        <w:spacing w:after="0" w:line="480" w:lineRule="auto"/>
        <w:rPr>
          <w:rFonts w:ascii="Arial" w:hAnsi="Arial" w:cs="Arial"/>
        </w:rPr>
      </w:pPr>
    </w:p>
    <w:p w:rsidR="0048502B" w:rsidRDefault="0048502B" w:rsidP="005A2704">
      <w:pPr>
        <w:spacing w:after="0" w:line="480" w:lineRule="auto"/>
        <w:rPr>
          <w:rFonts w:ascii="Arial" w:hAnsi="Arial" w:cs="Arial"/>
        </w:rPr>
      </w:pPr>
    </w:p>
    <w:p w:rsidR="0048502B" w:rsidRDefault="0048502B" w:rsidP="005A2704">
      <w:pPr>
        <w:spacing w:after="0" w:line="480" w:lineRule="auto"/>
        <w:rPr>
          <w:rFonts w:ascii="Arial" w:hAnsi="Arial" w:cs="Arial"/>
        </w:rPr>
      </w:pPr>
    </w:p>
    <w:p w:rsidR="0048502B" w:rsidRDefault="0048502B" w:rsidP="005A2704">
      <w:pPr>
        <w:spacing w:after="0" w:line="480" w:lineRule="auto"/>
        <w:rPr>
          <w:rFonts w:ascii="Arial" w:hAnsi="Arial" w:cs="Arial"/>
        </w:rPr>
      </w:pPr>
    </w:p>
    <w:p w:rsidR="0048502B" w:rsidRPr="0048502B" w:rsidRDefault="0048502B" w:rsidP="005A2704">
      <w:pPr>
        <w:spacing w:after="0" w:line="480" w:lineRule="auto"/>
        <w:rPr>
          <w:rFonts w:ascii="Arial" w:hAnsi="Arial" w:cs="Arial"/>
        </w:rPr>
      </w:pPr>
    </w:p>
    <w:p w:rsidR="005A2704" w:rsidRPr="0048502B" w:rsidRDefault="005A2704" w:rsidP="005A2704">
      <w:pPr>
        <w:spacing w:after="0" w:line="480" w:lineRule="auto"/>
        <w:rPr>
          <w:rFonts w:ascii="Arial" w:hAnsi="Arial" w:cs="Arial"/>
        </w:rPr>
      </w:pPr>
    </w:p>
    <w:p w:rsidR="00423210" w:rsidRPr="0048502B" w:rsidRDefault="00423210" w:rsidP="005A2704">
      <w:pPr>
        <w:spacing w:after="0" w:line="480" w:lineRule="auto"/>
        <w:jc w:val="center"/>
        <w:rPr>
          <w:rFonts w:ascii="Arial" w:hAnsi="Arial" w:cs="Arial"/>
          <w:b/>
        </w:rPr>
      </w:pPr>
      <w:r w:rsidRPr="0048502B">
        <w:rPr>
          <w:rFonts w:ascii="Arial" w:hAnsi="Arial" w:cs="Arial"/>
          <w:b/>
        </w:rPr>
        <w:t>SBAR Report: Situation</w:t>
      </w:r>
    </w:p>
    <w:p w:rsidR="00AB2C73" w:rsidRPr="0048502B" w:rsidRDefault="00AB2C73" w:rsidP="005A2704">
      <w:pPr>
        <w:spacing w:after="0" w:line="480" w:lineRule="auto"/>
        <w:ind w:firstLine="720"/>
        <w:rPr>
          <w:rFonts w:ascii="Arial" w:hAnsi="Arial" w:cs="Arial"/>
        </w:rPr>
      </w:pPr>
      <w:r w:rsidRPr="0048502B">
        <w:rPr>
          <w:rFonts w:ascii="Arial" w:hAnsi="Arial" w:cs="Arial"/>
        </w:rPr>
        <w:t xml:space="preserve">This SBAR report examines the case of Mr. Crawford, a 54-year-old male admitted to a mental health ward as a result of an acute worsening of his generalized anxiety disorder(GAD). </w:t>
      </w:r>
      <w:r w:rsidR="00BA3E44" w:rsidRPr="0048502B">
        <w:rPr>
          <w:rFonts w:ascii="Arial" w:hAnsi="Arial" w:cs="Arial"/>
        </w:rPr>
        <w:t>Currently, Mr. Crawford is presenting with signs of psychological distress such as confusion, aggression towards the caregivers and has expressed his desire to leave the ward in the middle of his treatment. This report will explore the legal as well as ethical difficulties enco</w:t>
      </w:r>
      <w:r w:rsidR="001D7A44">
        <w:rPr>
          <w:rFonts w:ascii="Arial" w:hAnsi="Arial" w:cs="Arial"/>
        </w:rPr>
        <w:t>untered in handling the case at</w:t>
      </w:r>
      <w:r w:rsidR="00BA3E44" w:rsidRPr="0048502B">
        <w:rPr>
          <w:rFonts w:ascii="Arial" w:hAnsi="Arial" w:cs="Arial"/>
        </w:rPr>
        <w:t xml:space="preserve"> hand, including issues related to human rights, consent, patient safety and mental capacity to make sound decisions. Through the application of ethical and legal frameworks such as </w:t>
      </w:r>
      <w:r w:rsidR="001D7A44">
        <w:rPr>
          <w:rFonts w:ascii="Arial" w:hAnsi="Arial" w:cs="Arial"/>
        </w:rPr>
        <w:t xml:space="preserve">the </w:t>
      </w:r>
      <w:r w:rsidR="00BA3E44" w:rsidRPr="0048502B">
        <w:rPr>
          <w:rFonts w:ascii="Arial" w:hAnsi="Arial" w:cs="Arial"/>
        </w:rPr>
        <w:t xml:space="preserve">2005 Mental Capacity Act, Deprivation of Liberty Safeguards(DoLS), as well as the principles of ethical nursing practice, this SBAR report will examine the best way to guarantee the patient a safe, respectful and person-centered care. </w:t>
      </w:r>
    </w:p>
    <w:p w:rsidR="00BA3E44" w:rsidRPr="0048502B" w:rsidRDefault="00BA3E44" w:rsidP="005A2704">
      <w:pPr>
        <w:spacing w:after="0" w:line="480" w:lineRule="auto"/>
        <w:ind w:firstLine="720"/>
        <w:rPr>
          <w:rFonts w:ascii="Arial" w:hAnsi="Arial" w:cs="Arial"/>
        </w:rPr>
      </w:pPr>
      <w:r w:rsidRPr="0048502B">
        <w:rPr>
          <w:rFonts w:ascii="Arial" w:hAnsi="Arial" w:cs="Arial"/>
        </w:rPr>
        <w:t xml:space="preserve">Mr. Crawford was admitted involuntarily in line with section 2 of the Mental Health Act (1983) with </w:t>
      </w:r>
      <w:r w:rsidR="001D7A44">
        <w:rPr>
          <w:rFonts w:ascii="Arial" w:hAnsi="Arial" w:cs="Arial"/>
        </w:rPr>
        <w:t xml:space="preserve">the </w:t>
      </w:r>
      <w:r w:rsidRPr="0048502B">
        <w:rPr>
          <w:rFonts w:ascii="Arial" w:hAnsi="Arial" w:cs="Arial"/>
        </w:rPr>
        <w:t xml:space="preserve">aim of assessing him following his increased agitation, intrusive anxious thoughts and insomnia that greatly affected his daily life. Despite the fact that Mr. Crawford has not depicted overt psychotic </w:t>
      </w:r>
      <w:r w:rsidR="00446454" w:rsidRPr="0048502B">
        <w:rPr>
          <w:rFonts w:ascii="Arial" w:hAnsi="Arial" w:cs="Arial"/>
        </w:rPr>
        <w:t xml:space="preserve">symptoms, his current behavior and confusion raises alarm about his capacity to make sound and safe choices. His attempt to leave the facility coupled with refusal to get treatment points to the need for a thorough capacity assessment with respect to his ability to consent to continued admission and treatment. </w:t>
      </w:r>
    </w:p>
    <w:p w:rsidR="00446454" w:rsidRPr="0048502B" w:rsidRDefault="00446454" w:rsidP="005A2704">
      <w:pPr>
        <w:spacing w:after="0" w:line="480" w:lineRule="auto"/>
        <w:ind w:firstLine="720"/>
        <w:rPr>
          <w:rFonts w:ascii="Arial" w:hAnsi="Arial" w:cs="Arial"/>
        </w:rPr>
      </w:pPr>
      <w:r w:rsidRPr="0048502B">
        <w:rPr>
          <w:rFonts w:ascii="Arial" w:hAnsi="Arial" w:cs="Arial"/>
        </w:rPr>
        <w:t>Lawful and safe practice in nursing calls for strict adherence to legal guidelines such as Mental Capacity Act of 2005, which offer guidelines on how to assess a person’s capacity to make critical decisions. The Act is applicable to individuals aged 16 years and above. It emphasizes a two-stage test. Firstly, the act requires the caregiver to identify any impairment of the brain or mind. In the case of Mr. Crawford, this may refer to anxiety-induced cogni</w:t>
      </w:r>
      <w:r w:rsidR="001D7A44">
        <w:rPr>
          <w:rFonts w:ascii="Arial" w:hAnsi="Arial" w:cs="Arial"/>
        </w:rPr>
        <w:t>tive impairment. Secondly, the A</w:t>
      </w:r>
      <w:r w:rsidRPr="0048502B">
        <w:rPr>
          <w:rFonts w:ascii="Arial" w:hAnsi="Arial" w:cs="Arial"/>
        </w:rPr>
        <w:t xml:space="preserve">ct </w:t>
      </w:r>
      <w:r w:rsidR="006F3140" w:rsidRPr="0048502B">
        <w:rPr>
          <w:rFonts w:ascii="Arial" w:hAnsi="Arial" w:cs="Arial"/>
        </w:rPr>
        <w:t>requires</w:t>
      </w:r>
      <w:r w:rsidRPr="0048502B">
        <w:rPr>
          <w:rFonts w:ascii="Arial" w:hAnsi="Arial" w:cs="Arial"/>
        </w:rPr>
        <w:t xml:space="preserve"> a determination to be made on whether the identified impairment prevents the patient from comprehending, retaining and or evaluating the necessary </w:t>
      </w:r>
      <w:r w:rsidRPr="0048502B">
        <w:rPr>
          <w:rFonts w:ascii="Arial" w:hAnsi="Arial" w:cs="Arial"/>
        </w:rPr>
        <w:lastRenderedPageBreak/>
        <w:t xml:space="preserve">information to come up with an informed decision. If Mr. Crawford does not have the capacity, MCA Principles 4 and 5 </w:t>
      </w:r>
      <w:r w:rsidR="006F3140" w:rsidRPr="0048502B">
        <w:rPr>
          <w:rFonts w:ascii="Arial" w:hAnsi="Arial" w:cs="Arial"/>
        </w:rPr>
        <w:t>expect the caregivers to use the least restrictive means in making decisions in the best interests of the patient</w:t>
      </w:r>
      <w:r w:rsidR="00CE3C4A" w:rsidRPr="0048502B">
        <w:rPr>
          <w:rFonts w:ascii="Arial" w:hAnsi="Arial" w:cs="Arial"/>
        </w:rPr>
        <w:t xml:space="preserve"> (</w:t>
      </w:r>
      <w:r w:rsidR="00CE3C4A" w:rsidRPr="0048502B">
        <w:rPr>
          <w:rFonts w:ascii="Arial" w:eastAsia="Times New Roman" w:hAnsi="Arial" w:cs="Arial"/>
        </w:rPr>
        <w:t>Care Quality Commission</w:t>
      </w:r>
      <w:r w:rsidR="00CE3C4A" w:rsidRPr="0048502B">
        <w:rPr>
          <w:rFonts w:ascii="Arial" w:hAnsi="Arial" w:cs="Arial"/>
        </w:rPr>
        <w:t>, 2020)</w:t>
      </w:r>
      <w:r w:rsidR="006F3140" w:rsidRPr="0048502B">
        <w:rPr>
          <w:rFonts w:ascii="Arial" w:hAnsi="Arial" w:cs="Arial"/>
        </w:rPr>
        <w:t xml:space="preserve">. </w:t>
      </w:r>
    </w:p>
    <w:p w:rsidR="006F3140" w:rsidRPr="0048502B" w:rsidRDefault="006F3140" w:rsidP="005A2704">
      <w:pPr>
        <w:spacing w:after="0" w:line="480" w:lineRule="auto"/>
        <w:ind w:firstLine="720"/>
        <w:rPr>
          <w:rFonts w:ascii="Arial" w:hAnsi="Arial" w:cs="Arial"/>
        </w:rPr>
      </w:pPr>
      <w:r w:rsidRPr="0048502B">
        <w:rPr>
          <w:rFonts w:ascii="Arial" w:hAnsi="Arial" w:cs="Arial"/>
        </w:rPr>
        <w:t xml:space="preserve">Respecting autonomy, though it’s a cornerstone of ethical nursing practice, must be balanced with beneficence and non-maleficence. In the case of Mr. Crawford, his desire to leave the facility must be weighed against the dangers to his physical and mental health if he leaves without the necessary support. The dilemma is on how to uphold the patient’s freedom (right to liberty) in line with Article 5 of the Human Rights and at the same time guarantee his safety. </w:t>
      </w:r>
    </w:p>
    <w:p w:rsidR="006F3140" w:rsidRPr="0048502B" w:rsidRDefault="006D7959" w:rsidP="005A2704">
      <w:pPr>
        <w:spacing w:after="0" w:line="480" w:lineRule="auto"/>
        <w:ind w:firstLine="720"/>
        <w:rPr>
          <w:rFonts w:ascii="Arial" w:hAnsi="Arial" w:cs="Arial"/>
        </w:rPr>
      </w:pPr>
      <w:r w:rsidRPr="0048502B">
        <w:rPr>
          <w:rFonts w:ascii="Arial" w:hAnsi="Arial" w:cs="Arial"/>
        </w:rPr>
        <w:t xml:space="preserve">If Mr. Crawford lacks capacity and requires restriction or supervision to avert harm, Deprivation of Liberty Safeguards (DoLS) may apply. The acid test laid down by the Supreme Court in 2014 must be applied: Is he free to leave? Is he under continuous control and supervision? If both are applicable, DoLS authorization is needed. Although Liberty Protection Safeguards (LPS) is replacing DoLS, the latter remains the current legal framework and therefore must be adhered to. </w:t>
      </w:r>
    </w:p>
    <w:p w:rsidR="00685525" w:rsidRPr="0048502B" w:rsidRDefault="006D7959" w:rsidP="00EE0EDB">
      <w:pPr>
        <w:spacing w:after="0" w:line="480" w:lineRule="auto"/>
        <w:ind w:firstLine="720"/>
        <w:rPr>
          <w:rFonts w:ascii="Arial" w:eastAsia="Times New Roman" w:hAnsi="Arial" w:cs="Arial"/>
        </w:rPr>
      </w:pPr>
      <w:r w:rsidRPr="0048502B">
        <w:rPr>
          <w:rFonts w:ascii="Arial" w:hAnsi="Arial" w:cs="Arial"/>
        </w:rPr>
        <w:t>Consent is another ethical and legal consideration. According to the principle of informed consent, Mr. Crawford’s decision (even if unwise) must be respected if its determined that he has the capacity. If he declines medication on the basis of side effects, this refusal is valid unless he is found to lack capacity</w:t>
      </w:r>
      <w:r w:rsidR="00EE0EDB" w:rsidRPr="0048502B">
        <w:rPr>
          <w:rFonts w:ascii="Arial" w:hAnsi="Arial" w:cs="Arial"/>
        </w:rPr>
        <w:t xml:space="preserve"> (</w:t>
      </w:r>
      <w:r w:rsidR="00EE0EDB" w:rsidRPr="0048502B">
        <w:rPr>
          <w:rFonts w:ascii="Arial" w:eastAsia="Times New Roman" w:hAnsi="Arial" w:cs="Arial"/>
        </w:rPr>
        <w:t>World Health Organization, 2022)</w:t>
      </w:r>
      <w:r w:rsidRPr="0048502B">
        <w:rPr>
          <w:rFonts w:ascii="Arial" w:hAnsi="Arial" w:cs="Arial"/>
        </w:rPr>
        <w:t xml:space="preserve">. Unless a Lasting Power of Attorney (LPA) is in place, staff and family members cannot override consent where capacity is not ruled out. </w:t>
      </w:r>
    </w:p>
    <w:p w:rsidR="003D2A01" w:rsidRPr="0048502B" w:rsidRDefault="003D2A01" w:rsidP="005A2704">
      <w:pPr>
        <w:spacing w:after="0" w:line="480" w:lineRule="auto"/>
        <w:ind w:firstLine="720"/>
        <w:rPr>
          <w:rFonts w:ascii="Arial" w:eastAsia="Times New Roman" w:hAnsi="Arial" w:cs="Arial"/>
        </w:rPr>
      </w:pPr>
      <w:r w:rsidRPr="0048502B">
        <w:rPr>
          <w:rFonts w:ascii="Arial" w:eastAsia="Times New Roman" w:hAnsi="Arial" w:cs="Arial"/>
        </w:rPr>
        <w:t xml:space="preserve">Human rights law is also a major consideration. Caregivers are obligated to uphold Mr. Crawford’s dignity (Article 3: freedom from degrading treatment), private life (Article 8) and right to liberty (Article 5). Nurses should be in a position to legally justify any restriction to his liberty. </w:t>
      </w:r>
    </w:p>
    <w:p w:rsidR="003D2A01" w:rsidRPr="0048502B" w:rsidRDefault="003D2A01" w:rsidP="005A2704">
      <w:pPr>
        <w:spacing w:after="0" w:line="480" w:lineRule="auto"/>
        <w:ind w:firstLine="720"/>
        <w:rPr>
          <w:rFonts w:ascii="Arial" w:eastAsia="Times New Roman" w:hAnsi="Arial" w:cs="Arial"/>
        </w:rPr>
      </w:pPr>
      <w:r w:rsidRPr="0048502B">
        <w:rPr>
          <w:rFonts w:ascii="Arial" w:eastAsia="Times New Roman" w:hAnsi="Arial" w:cs="Arial"/>
        </w:rPr>
        <w:t xml:space="preserve">Ethically, Mr. Crawford has a right to express distress, even through verbal aggression, so as long as his actions do not put other people at risk. De-escalation through respectful </w:t>
      </w:r>
      <w:r w:rsidRPr="0048502B">
        <w:rPr>
          <w:rFonts w:ascii="Arial" w:eastAsia="Times New Roman" w:hAnsi="Arial" w:cs="Arial"/>
        </w:rPr>
        <w:lastRenderedPageBreak/>
        <w:t>communication is necessary. Furthermore, the nursing team must advocate for the patient’</w:t>
      </w:r>
      <w:r w:rsidR="001C2F59" w:rsidRPr="0048502B">
        <w:rPr>
          <w:rFonts w:ascii="Arial" w:eastAsia="Times New Roman" w:hAnsi="Arial" w:cs="Arial"/>
        </w:rPr>
        <w:t>s voice to be heard</w:t>
      </w:r>
      <w:r w:rsidRPr="0048502B">
        <w:rPr>
          <w:rFonts w:ascii="Arial" w:eastAsia="Times New Roman" w:hAnsi="Arial" w:cs="Arial"/>
        </w:rPr>
        <w:t xml:space="preserve">, even if he is unable to make independent decisions for the time being. </w:t>
      </w:r>
    </w:p>
    <w:p w:rsidR="00B91D7D" w:rsidRPr="0048502B" w:rsidRDefault="001C2F59" w:rsidP="005A2704">
      <w:pPr>
        <w:spacing w:after="0" w:line="480" w:lineRule="auto"/>
        <w:ind w:firstLine="720"/>
        <w:rPr>
          <w:rFonts w:ascii="Arial" w:eastAsia="Times New Roman" w:hAnsi="Arial" w:cs="Arial"/>
        </w:rPr>
      </w:pPr>
      <w:r w:rsidRPr="0048502B">
        <w:rPr>
          <w:rFonts w:ascii="Arial" w:eastAsia="Times New Roman" w:hAnsi="Arial" w:cs="Arial"/>
        </w:rPr>
        <w:t xml:space="preserve">Evidently, Mr. Crawford’s incidence demonstrates the challenges involved in delivering ethical, legal and safe mental health nursing care. Ethical principles and legal guidelines such as DoLS and MCA provide the tools to weigh capacity, manage risk and guarantee the fundamental rights of the patient. Nurses are expected to uphold a patient-centered approach that minimizes restrictions, values autonomy, guarantees dignity, even in the midst of challenging clinical circumstances. </w:t>
      </w:r>
    </w:p>
    <w:p w:rsidR="00685525" w:rsidRPr="0048502B" w:rsidRDefault="00685525" w:rsidP="005A2704">
      <w:pPr>
        <w:spacing w:after="0" w:line="480" w:lineRule="auto"/>
        <w:jc w:val="center"/>
        <w:rPr>
          <w:rFonts w:ascii="Arial" w:hAnsi="Arial" w:cs="Arial"/>
          <w:b/>
        </w:rPr>
      </w:pPr>
      <w:r w:rsidRPr="0048502B">
        <w:rPr>
          <w:rFonts w:ascii="Arial" w:hAnsi="Arial" w:cs="Arial"/>
          <w:b/>
        </w:rPr>
        <w:t>Background</w:t>
      </w:r>
    </w:p>
    <w:p w:rsidR="001C2F59" w:rsidRPr="0048502B" w:rsidRDefault="00685525" w:rsidP="005A2704">
      <w:pPr>
        <w:spacing w:after="0" w:line="480" w:lineRule="auto"/>
        <w:ind w:firstLine="720"/>
        <w:rPr>
          <w:rFonts w:ascii="Arial" w:eastAsia="Times New Roman" w:hAnsi="Arial" w:cs="Arial"/>
        </w:rPr>
      </w:pPr>
      <w:r w:rsidRPr="0048502B">
        <w:rPr>
          <w:rFonts w:ascii="Arial" w:eastAsia="Times New Roman" w:hAnsi="Arial" w:cs="Arial"/>
        </w:rPr>
        <w:t xml:space="preserve">Mr. Crawford has been diagnosed with </w:t>
      </w:r>
      <w:r w:rsidR="00E85FB1" w:rsidRPr="0048502B">
        <w:rPr>
          <w:rFonts w:ascii="Arial" w:eastAsia="Times New Roman" w:hAnsi="Arial" w:cs="Arial"/>
        </w:rPr>
        <w:t>Generalized</w:t>
      </w:r>
      <w:r w:rsidRPr="0048502B">
        <w:rPr>
          <w:rFonts w:ascii="Arial" w:eastAsia="Times New Roman" w:hAnsi="Arial" w:cs="Arial"/>
        </w:rPr>
        <w:t xml:space="preserve"> Anxiety Disorder (GAD)</w:t>
      </w:r>
      <w:r w:rsidR="001C2F59" w:rsidRPr="0048502B">
        <w:rPr>
          <w:rFonts w:ascii="Arial" w:eastAsia="Times New Roman" w:hAnsi="Arial" w:cs="Arial"/>
        </w:rPr>
        <w:t>. GAD is a mental health disorder highlighted by excessive and uncontrolla</w:t>
      </w:r>
      <w:r w:rsidR="00E85FB1" w:rsidRPr="0048502B">
        <w:rPr>
          <w:rFonts w:ascii="Arial" w:eastAsia="Times New Roman" w:hAnsi="Arial" w:cs="Arial"/>
        </w:rPr>
        <w:t>ble anxiety for at least six months</w:t>
      </w:r>
      <w:r w:rsidR="00CE3C4A" w:rsidRPr="0048502B">
        <w:rPr>
          <w:rFonts w:ascii="Arial" w:eastAsia="Times New Roman" w:hAnsi="Arial" w:cs="Arial"/>
        </w:rPr>
        <w:t xml:space="preserve"> </w:t>
      </w:r>
      <w:r w:rsidR="00CE3C4A" w:rsidRPr="0048502B">
        <w:rPr>
          <w:rFonts w:ascii="Arial" w:hAnsi="Arial" w:cs="Arial"/>
        </w:rPr>
        <w:t>(Mental Health Foundation, n.d.)</w:t>
      </w:r>
      <w:r w:rsidR="00CE3C4A" w:rsidRPr="0048502B">
        <w:rPr>
          <w:rFonts w:ascii="Arial" w:eastAsia="Times New Roman" w:hAnsi="Arial" w:cs="Arial"/>
        </w:rPr>
        <w:t xml:space="preserve">. </w:t>
      </w:r>
      <w:r w:rsidR="00E85FB1" w:rsidRPr="0048502B">
        <w:rPr>
          <w:rFonts w:ascii="Arial" w:eastAsia="Times New Roman" w:hAnsi="Arial" w:cs="Arial"/>
        </w:rPr>
        <w:t xml:space="preserve">The physical symptoms include fatigue, irritability, restlessness, disturbances, difficulty concentrating and muscle tension. GAD can significantly affect a patient’s ability to lead a normal life and is often worsened by co-existing personality or mood disorders. </w:t>
      </w:r>
    </w:p>
    <w:p w:rsidR="00264C44" w:rsidRPr="0048502B" w:rsidRDefault="00E85FB1" w:rsidP="005A2704">
      <w:pPr>
        <w:spacing w:after="0" w:line="480" w:lineRule="auto"/>
        <w:ind w:firstLine="720"/>
        <w:rPr>
          <w:rFonts w:ascii="Arial" w:eastAsia="Times New Roman" w:hAnsi="Arial" w:cs="Arial"/>
        </w:rPr>
      </w:pPr>
      <w:r w:rsidRPr="0048502B">
        <w:rPr>
          <w:rFonts w:ascii="Arial" w:eastAsia="Times New Roman" w:hAnsi="Arial" w:cs="Arial"/>
        </w:rPr>
        <w:t>The pathophysiology of anxiety entails dysregulation within both the autonomic nervous system and central nervous system. The disorder arises when the threat detection system of the human body which is centered in the amygdala is hyperactivated, triggering an increased arousal and unending sense of fear</w:t>
      </w:r>
      <w:r w:rsidR="00D42B83" w:rsidRPr="0048502B">
        <w:rPr>
          <w:rFonts w:ascii="Arial" w:eastAsia="Times New Roman" w:hAnsi="Arial" w:cs="Arial"/>
        </w:rPr>
        <w:t xml:space="preserve"> (</w:t>
      </w:r>
      <w:r w:rsidR="00D42B83" w:rsidRPr="0048502B">
        <w:rPr>
          <w:rFonts w:ascii="Arial" w:hAnsi="Arial" w:cs="Arial"/>
        </w:rPr>
        <w:t>World Health Organization, 2021)</w:t>
      </w:r>
      <w:r w:rsidRPr="0048502B">
        <w:rPr>
          <w:rFonts w:ascii="Arial" w:eastAsia="Times New Roman" w:hAnsi="Arial" w:cs="Arial"/>
        </w:rPr>
        <w:t xml:space="preserve">. The </w:t>
      </w:r>
      <w:r w:rsidRPr="0048502B">
        <w:rPr>
          <w:rFonts w:ascii="Arial" w:eastAsia="Times New Roman" w:hAnsi="Arial" w:cs="Arial"/>
          <w:bCs/>
        </w:rPr>
        <w:t xml:space="preserve">amygdala plays a crucial role in processing fear as well as threat-related stimuli. Ones </w:t>
      </w:r>
      <w:r w:rsidRPr="0048502B">
        <w:rPr>
          <w:rFonts w:ascii="Arial" w:eastAsia="Times New Roman" w:hAnsi="Arial" w:cs="Arial"/>
        </w:rPr>
        <w:t xml:space="preserve">the amygdala becomes hyperresponsive and overrides input from the </w:t>
      </w:r>
      <w:r w:rsidRPr="001D7A44">
        <w:rPr>
          <w:rFonts w:ascii="Arial" w:eastAsia="Times New Roman" w:hAnsi="Arial" w:cs="Arial"/>
          <w:bCs/>
        </w:rPr>
        <w:t>frontal lobe</w:t>
      </w:r>
      <w:r w:rsidR="00264C44" w:rsidRPr="0048502B">
        <w:rPr>
          <w:rFonts w:ascii="Arial" w:eastAsia="Times New Roman" w:hAnsi="Arial" w:cs="Arial"/>
        </w:rPr>
        <w:t>, the</w:t>
      </w:r>
      <w:r w:rsidRPr="0048502B">
        <w:rPr>
          <w:rFonts w:ascii="Arial" w:eastAsia="Times New Roman" w:hAnsi="Arial" w:cs="Arial"/>
        </w:rPr>
        <w:t xml:space="preserve"> cognitive </w:t>
      </w:r>
      <w:r w:rsidR="00264C44" w:rsidRPr="0048502B">
        <w:rPr>
          <w:rFonts w:ascii="Arial" w:eastAsia="Times New Roman" w:hAnsi="Arial" w:cs="Arial"/>
        </w:rPr>
        <w:t>center of the brain</w:t>
      </w:r>
      <w:r w:rsidRPr="0048502B">
        <w:rPr>
          <w:rFonts w:ascii="Arial" w:eastAsia="Times New Roman" w:hAnsi="Arial" w:cs="Arial"/>
        </w:rPr>
        <w:t xml:space="preserve"> responsible for logical reasoning, planning, and </w:t>
      </w:r>
      <w:r w:rsidR="00264C44" w:rsidRPr="0048502B">
        <w:rPr>
          <w:rFonts w:ascii="Arial" w:eastAsia="Times New Roman" w:hAnsi="Arial" w:cs="Arial"/>
        </w:rPr>
        <w:t>managing</w:t>
      </w:r>
      <w:r w:rsidRPr="0048502B">
        <w:rPr>
          <w:rFonts w:ascii="Arial" w:eastAsia="Times New Roman" w:hAnsi="Arial" w:cs="Arial"/>
        </w:rPr>
        <w:t xml:space="preserve"> emotional responses</w:t>
      </w:r>
      <w:r w:rsidR="00264C44" w:rsidRPr="0048502B">
        <w:rPr>
          <w:rFonts w:ascii="Arial" w:eastAsia="Times New Roman" w:hAnsi="Arial" w:cs="Arial"/>
        </w:rPr>
        <w:t>,</w:t>
      </w:r>
      <w:r w:rsidRPr="0048502B">
        <w:rPr>
          <w:rFonts w:ascii="Arial" w:eastAsia="Times New Roman" w:hAnsi="Arial" w:cs="Arial"/>
        </w:rPr>
        <w:t xml:space="preserve"> anxiety disorders </w:t>
      </w:r>
      <w:r w:rsidR="001D7A44">
        <w:rPr>
          <w:rFonts w:ascii="Arial" w:eastAsia="Times New Roman" w:hAnsi="Arial" w:cs="Arial"/>
        </w:rPr>
        <w:t>kicks in</w:t>
      </w:r>
      <w:r w:rsidRPr="0048502B">
        <w:rPr>
          <w:rFonts w:ascii="Arial" w:eastAsia="Times New Roman" w:hAnsi="Arial" w:cs="Arial"/>
        </w:rPr>
        <w:t xml:space="preserve">. </w:t>
      </w:r>
      <w:r w:rsidR="00264C44" w:rsidRPr="0048502B">
        <w:rPr>
          <w:rFonts w:ascii="Arial" w:eastAsia="Times New Roman" w:hAnsi="Arial" w:cs="Arial"/>
        </w:rPr>
        <w:t>As a result of the imbalance</w:t>
      </w:r>
      <w:r w:rsidR="001D7A44">
        <w:rPr>
          <w:rFonts w:ascii="Arial" w:eastAsia="Times New Roman" w:hAnsi="Arial" w:cs="Arial"/>
        </w:rPr>
        <w:t>,</w:t>
      </w:r>
      <w:r w:rsidR="00264C44" w:rsidRPr="0048502B">
        <w:rPr>
          <w:rFonts w:ascii="Arial" w:eastAsia="Times New Roman" w:hAnsi="Arial" w:cs="Arial"/>
        </w:rPr>
        <w:t xml:space="preserve"> persistent anticipatory anxiety and distorted threat perception is reported. </w:t>
      </w:r>
    </w:p>
    <w:p w:rsidR="00685525" w:rsidRPr="0048502B" w:rsidRDefault="00685525" w:rsidP="005A2704">
      <w:pPr>
        <w:spacing w:after="0" w:line="480" w:lineRule="auto"/>
        <w:ind w:firstLine="360"/>
        <w:rPr>
          <w:rFonts w:ascii="Arial" w:eastAsia="Times New Roman" w:hAnsi="Arial" w:cs="Arial"/>
        </w:rPr>
      </w:pPr>
      <w:r w:rsidRPr="0048502B">
        <w:rPr>
          <w:rFonts w:ascii="Arial" w:eastAsia="Times New Roman" w:hAnsi="Arial" w:cs="Arial"/>
        </w:rPr>
        <w:t xml:space="preserve">Neurotransmitter imbalances also </w:t>
      </w:r>
      <w:r w:rsidR="00264C44" w:rsidRPr="0048502B">
        <w:rPr>
          <w:rFonts w:ascii="Arial" w:eastAsia="Times New Roman" w:hAnsi="Arial" w:cs="Arial"/>
        </w:rPr>
        <w:t xml:space="preserve">play a role in </w:t>
      </w:r>
      <w:r w:rsidRPr="0048502B">
        <w:rPr>
          <w:rFonts w:ascii="Arial" w:eastAsia="Times New Roman" w:hAnsi="Arial" w:cs="Arial"/>
        </w:rPr>
        <w:t xml:space="preserve">the development and persistence of GAD. Four </w:t>
      </w:r>
      <w:r w:rsidR="00264C44" w:rsidRPr="0048502B">
        <w:rPr>
          <w:rFonts w:ascii="Arial" w:eastAsia="Times New Roman" w:hAnsi="Arial" w:cs="Arial"/>
        </w:rPr>
        <w:t>key</w:t>
      </w:r>
      <w:r w:rsidRPr="0048502B">
        <w:rPr>
          <w:rFonts w:ascii="Arial" w:eastAsia="Times New Roman" w:hAnsi="Arial" w:cs="Arial"/>
        </w:rPr>
        <w:t xml:space="preserve"> neurotransmitters are </w:t>
      </w:r>
      <w:r w:rsidR="00264C44" w:rsidRPr="0048502B">
        <w:rPr>
          <w:rFonts w:ascii="Arial" w:eastAsia="Times New Roman" w:hAnsi="Arial" w:cs="Arial"/>
        </w:rPr>
        <w:t>responsible</w:t>
      </w:r>
      <w:r w:rsidRPr="0048502B">
        <w:rPr>
          <w:rFonts w:ascii="Arial" w:eastAsia="Times New Roman" w:hAnsi="Arial" w:cs="Arial"/>
        </w:rPr>
        <w:t>:</w:t>
      </w:r>
    </w:p>
    <w:p w:rsidR="00264C44" w:rsidRPr="0048502B" w:rsidRDefault="00264C44" w:rsidP="005A2704">
      <w:pPr>
        <w:numPr>
          <w:ilvl w:val="0"/>
          <w:numId w:val="4"/>
        </w:numPr>
        <w:spacing w:after="0" w:line="480" w:lineRule="auto"/>
        <w:rPr>
          <w:rFonts w:ascii="Arial" w:eastAsia="Times New Roman" w:hAnsi="Arial" w:cs="Arial"/>
        </w:rPr>
      </w:pPr>
      <w:r w:rsidRPr="0048502B">
        <w:rPr>
          <w:rFonts w:ascii="Arial" w:eastAsia="Times New Roman" w:hAnsi="Arial" w:cs="Arial"/>
          <w:b/>
          <w:bCs/>
        </w:rPr>
        <w:lastRenderedPageBreak/>
        <w:t>Serotonin (5-HT):</w:t>
      </w:r>
      <w:r w:rsidRPr="0048502B">
        <w:rPr>
          <w:rFonts w:ascii="Arial" w:eastAsia="Times New Roman" w:hAnsi="Arial" w:cs="Arial"/>
        </w:rPr>
        <w:t xml:space="preserve"> Serotonin regulates sleep, mood, and emotion. Low levels of serotonin are associated with depression and anxiety. Selective Serotonin Reuptake Inhibitors (SSRIs), for instance sertraline, are mostly prescribed to enhance serotonin availability in the synaptic cleft.</w:t>
      </w:r>
    </w:p>
    <w:p w:rsidR="00685525" w:rsidRPr="0048502B" w:rsidRDefault="00685525" w:rsidP="005A2704">
      <w:pPr>
        <w:numPr>
          <w:ilvl w:val="0"/>
          <w:numId w:val="4"/>
        </w:numPr>
        <w:spacing w:after="0" w:line="480" w:lineRule="auto"/>
        <w:rPr>
          <w:rFonts w:ascii="Arial" w:eastAsia="Times New Roman" w:hAnsi="Arial" w:cs="Arial"/>
        </w:rPr>
      </w:pPr>
      <w:r w:rsidRPr="0048502B">
        <w:rPr>
          <w:rFonts w:ascii="Arial" w:eastAsia="Times New Roman" w:hAnsi="Arial" w:cs="Arial"/>
          <w:b/>
          <w:bCs/>
        </w:rPr>
        <w:t>Gamma-aminobutyric acid (GABA):</w:t>
      </w:r>
      <w:r w:rsidR="00264C44" w:rsidRPr="0048502B">
        <w:rPr>
          <w:rFonts w:ascii="Arial" w:eastAsia="Times New Roman" w:hAnsi="Arial" w:cs="Arial"/>
        </w:rPr>
        <w:t xml:space="preserve"> GABA is the</w:t>
      </w:r>
      <w:r w:rsidRPr="0048502B">
        <w:rPr>
          <w:rFonts w:ascii="Arial" w:eastAsia="Times New Roman" w:hAnsi="Arial" w:cs="Arial"/>
        </w:rPr>
        <w:t xml:space="preserve"> primary inhibitory neurotransmitter</w:t>
      </w:r>
      <w:r w:rsidR="00264C44" w:rsidRPr="0048502B">
        <w:rPr>
          <w:rFonts w:ascii="Arial" w:eastAsia="Times New Roman" w:hAnsi="Arial" w:cs="Arial"/>
        </w:rPr>
        <w:t xml:space="preserve"> of the brain</w:t>
      </w:r>
      <w:r w:rsidRPr="0048502B">
        <w:rPr>
          <w:rFonts w:ascii="Arial" w:eastAsia="Times New Roman" w:hAnsi="Arial" w:cs="Arial"/>
        </w:rPr>
        <w:t xml:space="preserve">. It </w:t>
      </w:r>
      <w:r w:rsidR="00264C44" w:rsidRPr="0048502B">
        <w:rPr>
          <w:rFonts w:ascii="Arial" w:eastAsia="Times New Roman" w:hAnsi="Arial" w:cs="Arial"/>
        </w:rPr>
        <w:t>promotes calm by minimizing neuronal excitability</w:t>
      </w:r>
      <w:r w:rsidRPr="0048502B">
        <w:rPr>
          <w:rFonts w:ascii="Arial" w:eastAsia="Times New Roman" w:hAnsi="Arial" w:cs="Arial"/>
        </w:rPr>
        <w:t xml:space="preserve">. In </w:t>
      </w:r>
      <w:r w:rsidR="00CC4BE2" w:rsidRPr="0048502B">
        <w:rPr>
          <w:rFonts w:ascii="Arial" w:eastAsia="Times New Roman" w:hAnsi="Arial" w:cs="Arial"/>
        </w:rPr>
        <w:t>anxiety patients</w:t>
      </w:r>
      <w:r w:rsidRPr="0048502B">
        <w:rPr>
          <w:rFonts w:ascii="Arial" w:eastAsia="Times New Roman" w:hAnsi="Arial" w:cs="Arial"/>
        </w:rPr>
        <w:t xml:space="preserve">, reduced GABA activity </w:t>
      </w:r>
      <w:r w:rsidR="00CC4BE2" w:rsidRPr="0048502B">
        <w:rPr>
          <w:rFonts w:ascii="Arial" w:eastAsia="Times New Roman" w:hAnsi="Arial" w:cs="Arial"/>
        </w:rPr>
        <w:t>triggers</w:t>
      </w:r>
      <w:r w:rsidRPr="0048502B">
        <w:rPr>
          <w:rFonts w:ascii="Arial" w:eastAsia="Times New Roman" w:hAnsi="Arial" w:cs="Arial"/>
        </w:rPr>
        <w:t xml:space="preserve"> overexcitement of neurons, </w:t>
      </w:r>
      <w:r w:rsidR="00CC4BE2" w:rsidRPr="0048502B">
        <w:rPr>
          <w:rFonts w:ascii="Arial" w:eastAsia="Times New Roman" w:hAnsi="Arial" w:cs="Arial"/>
        </w:rPr>
        <w:t>leading to</w:t>
      </w:r>
      <w:r w:rsidRPr="0048502B">
        <w:rPr>
          <w:rFonts w:ascii="Arial" w:eastAsia="Times New Roman" w:hAnsi="Arial" w:cs="Arial"/>
        </w:rPr>
        <w:t xml:space="preserve"> heightened </w:t>
      </w:r>
      <w:r w:rsidR="00CC4BE2" w:rsidRPr="0048502B">
        <w:rPr>
          <w:rFonts w:ascii="Arial" w:eastAsia="Times New Roman" w:hAnsi="Arial" w:cs="Arial"/>
        </w:rPr>
        <w:t xml:space="preserve">nervousness and </w:t>
      </w:r>
      <w:r w:rsidRPr="0048502B">
        <w:rPr>
          <w:rFonts w:ascii="Arial" w:eastAsia="Times New Roman" w:hAnsi="Arial" w:cs="Arial"/>
        </w:rPr>
        <w:t>arousal.</w:t>
      </w:r>
    </w:p>
    <w:p w:rsidR="00685525" w:rsidRPr="0048502B" w:rsidRDefault="00CC4BE2" w:rsidP="005A2704">
      <w:pPr>
        <w:numPr>
          <w:ilvl w:val="0"/>
          <w:numId w:val="4"/>
        </w:numPr>
        <w:spacing w:after="0" w:line="480" w:lineRule="auto"/>
        <w:rPr>
          <w:rFonts w:ascii="Arial" w:eastAsia="Times New Roman" w:hAnsi="Arial" w:cs="Arial"/>
        </w:rPr>
      </w:pPr>
      <w:r w:rsidRPr="0048502B">
        <w:rPr>
          <w:rFonts w:ascii="Arial" w:eastAsia="Times New Roman" w:hAnsi="Arial" w:cs="Arial"/>
          <w:b/>
          <w:bCs/>
        </w:rPr>
        <w:t>Noradrenaline</w:t>
      </w:r>
      <w:r w:rsidR="00685525" w:rsidRPr="0048502B">
        <w:rPr>
          <w:rFonts w:ascii="Arial" w:eastAsia="Times New Roman" w:hAnsi="Arial" w:cs="Arial"/>
          <w:b/>
          <w:bCs/>
        </w:rPr>
        <w:t>:</w:t>
      </w:r>
      <w:r w:rsidR="00685525" w:rsidRPr="0048502B">
        <w:rPr>
          <w:rFonts w:ascii="Arial" w:eastAsia="Times New Roman" w:hAnsi="Arial" w:cs="Arial"/>
        </w:rPr>
        <w:t xml:space="preserve"> This neurotransmitter </w:t>
      </w:r>
      <w:r w:rsidRPr="0048502B">
        <w:rPr>
          <w:rFonts w:ascii="Arial" w:eastAsia="Times New Roman" w:hAnsi="Arial" w:cs="Arial"/>
        </w:rPr>
        <w:t>is crucial in the</w:t>
      </w:r>
      <w:r w:rsidR="00685525" w:rsidRPr="0048502B">
        <w:rPr>
          <w:rFonts w:ascii="Arial" w:eastAsia="Times New Roman" w:hAnsi="Arial" w:cs="Arial"/>
        </w:rPr>
        <w:t xml:space="preserve"> fight-or-flight response. Increased </w:t>
      </w:r>
      <w:r w:rsidRPr="0048502B">
        <w:rPr>
          <w:rFonts w:ascii="Arial" w:eastAsia="Times New Roman" w:hAnsi="Arial" w:cs="Arial"/>
        </w:rPr>
        <w:t xml:space="preserve">levels of </w:t>
      </w:r>
      <w:r w:rsidR="00685525" w:rsidRPr="0048502B">
        <w:rPr>
          <w:rFonts w:ascii="Arial" w:eastAsia="Times New Roman" w:hAnsi="Arial" w:cs="Arial"/>
        </w:rPr>
        <w:t xml:space="preserve">noradrenaline activity can </w:t>
      </w:r>
      <w:r w:rsidRPr="0048502B">
        <w:rPr>
          <w:rFonts w:ascii="Arial" w:eastAsia="Times New Roman" w:hAnsi="Arial" w:cs="Arial"/>
        </w:rPr>
        <w:t>trigger</w:t>
      </w:r>
      <w:r w:rsidR="00685525" w:rsidRPr="0048502B">
        <w:rPr>
          <w:rFonts w:ascii="Arial" w:eastAsia="Times New Roman" w:hAnsi="Arial" w:cs="Arial"/>
        </w:rPr>
        <w:t xml:space="preserve"> rapid </w:t>
      </w:r>
      <w:r w:rsidRPr="0048502B">
        <w:rPr>
          <w:rFonts w:ascii="Arial" w:eastAsia="Times New Roman" w:hAnsi="Arial" w:cs="Arial"/>
        </w:rPr>
        <w:t xml:space="preserve">sweating, </w:t>
      </w:r>
      <w:r w:rsidR="00685525" w:rsidRPr="0048502B">
        <w:rPr>
          <w:rFonts w:ascii="Arial" w:eastAsia="Times New Roman" w:hAnsi="Arial" w:cs="Arial"/>
        </w:rPr>
        <w:t xml:space="preserve">heartbeat, and hypervigilance, common in </w:t>
      </w:r>
      <w:r w:rsidRPr="0048502B">
        <w:rPr>
          <w:rFonts w:ascii="Arial" w:eastAsia="Times New Roman" w:hAnsi="Arial" w:cs="Arial"/>
        </w:rPr>
        <w:t>anxiety patients</w:t>
      </w:r>
      <w:r w:rsidR="00685525" w:rsidRPr="0048502B">
        <w:rPr>
          <w:rFonts w:ascii="Arial" w:eastAsia="Times New Roman" w:hAnsi="Arial" w:cs="Arial"/>
        </w:rPr>
        <w:t>.</w:t>
      </w:r>
    </w:p>
    <w:p w:rsidR="00685525" w:rsidRPr="0048502B" w:rsidRDefault="00685525" w:rsidP="005A2704">
      <w:pPr>
        <w:numPr>
          <w:ilvl w:val="0"/>
          <w:numId w:val="4"/>
        </w:numPr>
        <w:spacing w:after="0" w:line="480" w:lineRule="auto"/>
        <w:rPr>
          <w:rFonts w:ascii="Arial" w:eastAsia="Times New Roman" w:hAnsi="Arial" w:cs="Arial"/>
        </w:rPr>
      </w:pPr>
      <w:r w:rsidRPr="0048502B">
        <w:rPr>
          <w:rFonts w:ascii="Arial" w:eastAsia="Times New Roman" w:hAnsi="Arial" w:cs="Arial"/>
          <w:b/>
          <w:bCs/>
        </w:rPr>
        <w:t>Glutamate:</w:t>
      </w:r>
      <w:r w:rsidR="00CC4BE2" w:rsidRPr="0048502B">
        <w:rPr>
          <w:rFonts w:ascii="Arial" w:eastAsia="Times New Roman" w:hAnsi="Arial" w:cs="Arial"/>
        </w:rPr>
        <w:t xml:space="preserve"> This is </w:t>
      </w:r>
      <w:r w:rsidRPr="0048502B">
        <w:rPr>
          <w:rFonts w:ascii="Arial" w:eastAsia="Times New Roman" w:hAnsi="Arial" w:cs="Arial"/>
        </w:rPr>
        <w:t>main excitatory neurotransmitte</w:t>
      </w:r>
      <w:r w:rsidR="00CC4BE2" w:rsidRPr="0048502B">
        <w:rPr>
          <w:rFonts w:ascii="Arial" w:eastAsia="Times New Roman" w:hAnsi="Arial" w:cs="Arial"/>
        </w:rPr>
        <w:t xml:space="preserve">r in the central nervous system. It </w:t>
      </w:r>
      <w:r w:rsidRPr="0048502B">
        <w:rPr>
          <w:rFonts w:ascii="Arial" w:eastAsia="Times New Roman" w:hAnsi="Arial" w:cs="Arial"/>
        </w:rPr>
        <w:t xml:space="preserve">has been </w:t>
      </w:r>
      <w:r w:rsidR="00CC4BE2" w:rsidRPr="0048502B">
        <w:rPr>
          <w:rFonts w:ascii="Arial" w:eastAsia="Times New Roman" w:hAnsi="Arial" w:cs="Arial"/>
        </w:rPr>
        <w:t>found</w:t>
      </w:r>
      <w:r w:rsidRPr="0048502B">
        <w:rPr>
          <w:rFonts w:ascii="Arial" w:eastAsia="Times New Roman" w:hAnsi="Arial" w:cs="Arial"/>
        </w:rPr>
        <w:t xml:space="preserve"> to be </w:t>
      </w:r>
      <w:r w:rsidR="00CC4BE2" w:rsidRPr="0048502B">
        <w:rPr>
          <w:rFonts w:ascii="Arial" w:eastAsia="Times New Roman" w:hAnsi="Arial" w:cs="Arial"/>
        </w:rPr>
        <w:t>high</w:t>
      </w:r>
      <w:r w:rsidRPr="0048502B">
        <w:rPr>
          <w:rFonts w:ascii="Arial" w:eastAsia="Times New Roman" w:hAnsi="Arial" w:cs="Arial"/>
        </w:rPr>
        <w:t xml:space="preserve"> in </w:t>
      </w:r>
      <w:r w:rsidR="00CC4BE2" w:rsidRPr="0048502B">
        <w:rPr>
          <w:rFonts w:ascii="Arial" w:eastAsia="Times New Roman" w:hAnsi="Arial" w:cs="Arial"/>
        </w:rPr>
        <w:t>people</w:t>
      </w:r>
      <w:r w:rsidRPr="0048502B">
        <w:rPr>
          <w:rFonts w:ascii="Arial" w:eastAsia="Times New Roman" w:hAnsi="Arial" w:cs="Arial"/>
        </w:rPr>
        <w:t xml:space="preserve"> with anxiety disorders, </w:t>
      </w:r>
      <w:r w:rsidR="00CC4BE2" w:rsidRPr="0048502B">
        <w:rPr>
          <w:rFonts w:ascii="Arial" w:eastAsia="Times New Roman" w:hAnsi="Arial" w:cs="Arial"/>
        </w:rPr>
        <w:t>causing heightened tension and neural activity</w:t>
      </w:r>
      <w:r w:rsidR="00D42B83" w:rsidRPr="0048502B">
        <w:rPr>
          <w:rFonts w:ascii="Arial" w:eastAsia="Times New Roman" w:hAnsi="Arial" w:cs="Arial"/>
        </w:rPr>
        <w:t xml:space="preserve"> (</w:t>
      </w:r>
      <w:r w:rsidR="00D42B83" w:rsidRPr="0048502B">
        <w:rPr>
          <w:rFonts w:ascii="Arial" w:hAnsi="Arial" w:cs="Arial"/>
        </w:rPr>
        <w:t>University College London, 2021)</w:t>
      </w:r>
      <w:r w:rsidRPr="0048502B">
        <w:rPr>
          <w:rFonts w:ascii="Arial" w:eastAsia="Times New Roman" w:hAnsi="Arial" w:cs="Arial"/>
        </w:rPr>
        <w:t>.</w:t>
      </w:r>
    </w:p>
    <w:p w:rsidR="00CC4BE2" w:rsidRPr="0048502B" w:rsidRDefault="00322E34" w:rsidP="005A2704">
      <w:pPr>
        <w:spacing w:after="0" w:line="480" w:lineRule="auto"/>
        <w:ind w:firstLine="360"/>
        <w:rPr>
          <w:rFonts w:ascii="Arial" w:eastAsia="Times New Roman" w:hAnsi="Arial" w:cs="Arial"/>
        </w:rPr>
      </w:pPr>
      <w:r w:rsidRPr="0048502B">
        <w:rPr>
          <w:rFonts w:ascii="Arial" w:eastAsia="Times New Roman" w:hAnsi="Arial" w:cs="Arial"/>
        </w:rPr>
        <w:t>These chemical imbalances lead to improper communication between brain regions, triggering anxiety manifestations</w:t>
      </w:r>
      <w:r w:rsidR="00D42B83" w:rsidRPr="0048502B">
        <w:rPr>
          <w:rFonts w:ascii="Arial" w:eastAsia="Times New Roman" w:hAnsi="Arial" w:cs="Arial"/>
        </w:rPr>
        <w:t xml:space="preserve"> </w:t>
      </w:r>
      <w:r w:rsidR="00D42B83" w:rsidRPr="0048502B">
        <w:rPr>
          <w:rFonts w:ascii="Arial" w:hAnsi="Arial" w:cs="Arial"/>
        </w:rPr>
        <w:t>(Office for National Statistics, 2021)</w:t>
      </w:r>
      <w:r w:rsidRPr="0048502B">
        <w:rPr>
          <w:rFonts w:ascii="Arial" w:eastAsia="Times New Roman" w:hAnsi="Arial" w:cs="Arial"/>
        </w:rPr>
        <w:t xml:space="preserve">. Chronic activation of the sympathetic nervous system which control fight-or-flight response results in physical manifestations including dizziness, palpitations, muscle tension and gastrointestinal upset. On the other hand, the </w:t>
      </w:r>
      <w:r w:rsidRPr="0048502B">
        <w:rPr>
          <w:rFonts w:ascii="Arial" w:eastAsia="Times New Roman" w:hAnsi="Arial" w:cs="Arial"/>
          <w:b/>
          <w:bCs/>
        </w:rPr>
        <w:t xml:space="preserve">parasympathetic nervous system, </w:t>
      </w:r>
      <w:r w:rsidRPr="0048502B">
        <w:rPr>
          <w:rFonts w:ascii="Arial" w:eastAsia="Times New Roman" w:hAnsi="Arial" w:cs="Arial"/>
        </w:rPr>
        <w:t>which usually helps one to relax, is underactivated in anxiety patients.</w:t>
      </w:r>
    </w:p>
    <w:p w:rsidR="00322E34" w:rsidRPr="0048502B" w:rsidRDefault="00322E34" w:rsidP="005A2704">
      <w:pPr>
        <w:spacing w:after="0" w:line="480" w:lineRule="auto"/>
        <w:ind w:firstLine="360"/>
        <w:rPr>
          <w:rFonts w:ascii="Arial" w:eastAsia="Times New Roman" w:hAnsi="Arial" w:cs="Arial"/>
        </w:rPr>
      </w:pPr>
      <w:r w:rsidRPr="0048502B">
        <w:rPr>
          <w:rFonts w:ascii="Arial" w:eastAsia="Times New Roman" w:hAnsi="Arial" w:cs="Arial"/>
        </w:rPr>
        <w:t xml:space="preserve">In the case of Mr. Crawford, these physiological processes could explain his verbal aggression, distress and confusion. Amygdala – his hyperactive emotional brain – may be overpowering rational control from the frontal lobe, causing the impaired capacity to evaluate his current situation or comply with treatment. Moreover, anxiety might be disrupting his sleep experience, further worsening his agitation and cognitive dysfunction. </w:t>
      </w:r>
    </w:p>
    <w:p w:rsidR="00CC4BE2" w:rsidRPr="0048502B" w:rsidRDefault="00291FDC" w:rsidP="005A2704">
      <w:pPr>
        <w:spacing w:after="0" w:line="480" w:lineRule="auto"/>
        <w:ind w:firstLine="360"/>
        <w:rPr>
          <w:rFonts w:ascii="Arial" w:eastAsia="Times New Roman" w:hAnsi="Arial" w:cs="Arial"/>
        </w:rPr>
      </w:pPr>
      <w:r w:rsidRPr="0048502B">
        <w:rPr>
          <w:rFonts w:ascii="Arial" w:eastAsia="Times New Roman" w:hAnsi="Arial" w:cs="Arial"/>
        </w:rPr>
        <w:lastRenderedPageBreak/>
        <w:t xml:space="preserve">Having a deep understanding of the pathophysiology of anxiety is important in shaping suitable treatment plan. It offers the rationale for pharmacological treatments such as SSRIs or short-term benzodiazepines and psychological therapies such as Cognitive Behavioral Therapy, self-help interventions and applied relaxation. Given the symptoms manifested by Mr. Crawford, effective management of anxiety using these interventions can help reduce distress and restore function. Consequently, this approach will set him on the road to recovery. </w:t>
      </w:r>
    </w:p>
    <w:p w:rsidR="00685525" w:rsidRPr="0048502B" w:rsidRDefault="00423210" w:rsidP="005A2704">
      <w:pPr>
        <w:spacing w:after="0" w:line="480" w:lineRule="auto"/>
        <w:jc w:val="center"/>
        <w:rPr>
          <w:rFonts w:ascii="Arial" w:eastAsia="Times New Roman" w:hAnsi="Arial" w:cs="Arial"/>
          <w:b/>
        </w:rPr>
      </w:pPr>
      <w:r w:rsidRPr="0048502B">
        <w:rPr>
          <w:rFonts w:ascii="Arial" w:eastAsia="Times New Roman" w:hAnsi="Arial" w:cs="Arial"/>
          <w:b/>
        </w:rPr>
        <w:t>Assessment</w:t>
      </w:r>
    </w:p>
    <w:p w:rsidR="00863BAA" w:rsidRPr="0048502B" w:rsidRDefault="00863BAA" w:rsidP="005A2704">
      <w:pPr>
        <w:spacing w:after="0" w:line="480" w:lineRule="auto"/>
        <w:ind w:firstLine="720"/>
        <w:rPr>
          <w:rFonts w:ascii="Arial" w:hAnsi="Arial" w:cs="Arial"/>
        </w:rPr>
      </w:pPr>
      <w:r w:rsidRPr="0048502B">
        <w:rPr>
          <w:rFonts w:ascii="Arial" w:eastAsia="Times New Roman" w:hAnsi="Arial" w:cs="Arial"/>
        </w:rPr>
        <w:t>This analysis sections presents a detailed evaluation of the legal, ethical and professional difficulties presented in the case scenario involving Mr. Crawford.</w:t>
      </w:r>
      <w:r w:rsidR="00E25EA8" w:rsidRPr="0048502B">
        <w:rPr>
          <w:rFonts w:ascii="Arial" w:hAnsi="Arial" w:cs="Arial"/>
        </w:rPr>
        <w:t xml:space="preserve"> The focus is on the application of ethical frameworks reflective practice, legal guidelines under the Mental Capacity Act of 2005, Mental Health Act (MHA, 1983 amended 2007) and professional responsibilities as provided for in the NMC code of 2018. Through critical analysis and structured reflection, this section examines how these difficulties intersect with professional and personal development in mental health nursing. </w:t>
      </w:r>
    </w:p>
    <w:p w:rsidR="00863BAA" w:rsidRPr="0048502B" w:rsidRDefault="00E25EA8" w:rsidP="005A2704">
      <w:pPr>
        <w:spacing w:after="0" w:line="480" w:lineRule="auto"/>
        <w:rPr>
          <w:rFonts w:ascii="Arial" w:hAnsi="Arial" w:cs="Arial"/>
          <w:b/>
        </w:rPr>
      </w:pPr>
      <w:r w:rsidRPr="0048502B">
        <w:rPr>
          <w:rFonts w:ascii="Arial" w:hAnsi="Arial" w:cs="Arial"/>
          <w:b/>
        </w:rPr>
        <w:t>Ethical Dilemma: Autonomy vs. Ensuring Safety</w:t>
      </w:r>
    </w:p>
    <w:p w:rsidR="000617FB" w:rsidRPr="0048502B" w:rsidRDefault="000617FB" w:rsidP="005A2704">
      <w:pPr>
        <w:spacing w:after="0" w:line="480" w:lineRule="auto"/>
        <w:ind w:firstLine="720"/>
        <w:rPr>
          <w:rFonts w:ascii="Arial" w:hAnsi="Arial" w:cs="Arial"/>
        </w:rPr>
      </w:pPr>
      <w:r w:rsidRPr="0048502B">
        <w:rPr>
          <w:rFonts w:ascii="Arial" w:hAnsi="Arial" w:cs="Arial"/>
        </w:rPr>
        <w:t xml:space="preserve">One of the major ethical challenge arising from the case of Mr. Crawford is in line with balancing the duty of care and respect for patient autonomy. The patient is determined to leave abandon treatment and leave the hospital. The nursing team is concerned that allowing him to leave pose a risk to the patient and others as well. According to the Four Principles of Biomedical Ethics by </w:t>
      </w:r>
      <w:r w:rsidRPr="0048502B">
        <w:rPr>
          <w:rFonts w:ascii="Arial" w:hAnsi="Arial" w:cs="Arial"/>
          <w:b/>
        </w:rPr>
        <w:t>Beauchamp and Childress’s (2013)</w:t>
      </w:r>
      <w:r w:rsidRPr="0048502B">
        <w:rPr>
          <w:rFonts w:ascii="Arial" w:hAnsi="Arial" w:cs="Arial"/>
        </w:rPr>
        <w:t>, such a scenario presents a clear case of conflict between beneficence/non-maleficence and autonomy. Beneficence and non-maleficence require the team involved to protect the welfare of Mr</w:t>
      </w:r>
      <w:r w:rsidR="001C528B" w:rsidRPr="0048502B">
        <w:rPr>
          <w:rFonts w:ascii="Arial" w:hAnsi="Arial" w:cs="Arial"/>
        </w:rPr>
        <w:t>.</w:t>
      </w:r>
      <w:r w:rsidRPr="0048502B">
        <w:rPr>
          <w:rFonts w:ascii="Arial" w:hAnsi="Arial" w:cs="Arial"/>
        </w:rPr>
        <w:t xml:space="preserve"> Crawford and prevent harm while autonomy calls for the team to respect the patient’s right to make decisions</w:t>
      </w:r>
      <w:r w:rsidR="00955EB9" w:rsidRPr="0048502B">
        <w:rPr>
          <w:rFonts w:ascii="Arial" w:hAnsi="Arial" w:cs="Arial"/>
        </w:rPr>
        <w:t xml:space="preserve"> (Mind, n.d.; NICE, 2016)</w:t>
      </w:r>
      <w:r w:rsidRPr="0048502B">
        <w:rPr>
          <w:rFonts w:ascii="Arial" w:hAnsi="Arial" w:cs="Arial"/>
        </w:rPr>
        <w:t xml:space="preserve">. </w:t>
      </w:r>
    </w:p>
    <w:p w:rsidR="001C528B" w:rsidRPr="0048502B" w:rsidRDefault="002A04AC" w:rsidP="005A2704">
      <w:pPr>
        <w:spacing w:after="0" w:line="480" w:lineRule="auto"/>
        <w:ind w:firstLine="720"/>
        <w:rPr>
          <w:rFonts w:ascii="Arial" w:hAnsi="Arial" w:cs="Arial"/>
        </w:rPr>
      </w:pPr>
      <w:r w:rsidRPr="0048502B">
        <w:rPr>
          <w:rFonts w:ascii="Arial" w:hAnsi="Arial" w:cs="Arial"/>
        </w:rPr>
        <w:t xml:space="preserve">The big question arising from this dilemma is whether the patient has the mental capacity to make this critical decision. Unless proven otherwise, the Mental Capacity Act of </w:t>
      </w:r>
      <w:r w:rsidRPr="0048502B">
        <w:rPr>
          <w:rFonts w:ascii="Arial" w:hAnsi="Arial" w:cs="Arial"/>
        </w:rPr>
        <w:lastRenderedPageBreak/>
        <w:t>2005 indicate that adults should be presumed to have the mental capacity to make decisions. If Mr</w:t>
      </w:r>
      <w:r w:rsidR="001C528B" w:rsidRPr="0048502B">
        <w:rPr>
          <w:rFonts w:ascii="Arial" w:hAnsi="Arial" w:cs="Arial"/>
        </w:rPr>
        <w:t>.</w:t>
      </w:r>
      <w:r w:rsidRPr="0048502B">
        <w:rPr>
          <w:rFonts w:ascii="Arial" w:hAnsi="Arial" w:cs="Arial"/>
        </w:rPr>
        <w:t xml:space="preserve"> Crawford is found to have the capacity, administering treatment without consent and/or forcing him to stay in the ward would grossly violate his autonomy and potentially be illegal. If he lacks the mental capacity, on the other hand, the caregivers are allowed to intervene in his best interest. However, establishing capacity in the face of an acute mental health episode could be clinically and ethically challenging</w:t>
      </w:r>
      <w:r w:rsidR="00955EB9" w:rsidRPr="0048502B">
        <w:rPr>
          <w:rFonts w:ascii="Arial" w:hAnsi="Arial" w:cs="Arial"/>
        </w:rPr>
        <w:t xml:space="preserve"> (SCIE, 2021)</w:t>
      </w:r>
      <w:r w:rsidRPr="0048502B">
        <w:rPr>
          <w:rFonts w:ascii="Arial" w:hAnsi="Arial" w:cs="Arial"/>
        </w:rPr>
        <w:t xml:space="preserve">. </w:t>
      </w:r>
    </w:p>
    <w:p w:rsidR="001C528B" w:rsidRPr="0048502B" w:rsidRDefault="001C528B" w:rsidP="005A2704">
      <w:pPr>
        <w:spacing w:after="0" w:line="480" w:lineRule="auto"/>
        <w:rPr>
          <w:rFonts w:ascii="Arial" w:hAnsi="Arial" w:cs="Arial"/>
          <w:b/>
        </w:rPr>
      </w:pPr>
      <w:r w:rsidRPr="0048502B">
        <w:rPr>
          <w:rFonts w:ascii="Arial" w:hAnsi="Arial" w:cs="Arial"/>
          <w:b/>
        </w:rPr>
        <w:t>Legal Frameworks and Human Rights</w:t>
      </w:r>
    </w:p>
    <w:p w:rsidR="001C528B" w:rsidRPr="0048502B" w:rsidRDefault="001C528B" w:rsidP="005A2704">
      <w:pPr>
        <w:spacing w:after="0" w:line="480" w:lineRule="auto"/>
        <w:ind w:firstLine="720"/>
        <w:rPr>
          <w:rFonts w:ascii="Arial" w:hAnsi="Arial" w:cs="Arial"/>
        </w:rPr>
      </w:pPr>
      <w:r w:rsidRPr="0048502B">
        <w:rPr>
          <w:rFonts w:ascii="Arial" w:hAnsi="Arial" w:cs="Arial"/>
        </w:rPr>
        <w:t>Under certain circumstan</w:t>
      </w:r>
      <w:r w:rsidR="00151736" w:rsidRPr="0048502B">
        <w:rPr>
          <w:rFonts w:ascii="Arial" w:hAnsi="Arial" w:cs="Arial"/>
        </w:rPr>
        <w:t xml:space="preserve">ces, the Mental Health Act 1983 (Department of Health and Social Care, 2018) </w:t>
      </w:r>
      <w:r w:rsidRPr="0048502B">
        <w:rPr>
          <w:rFonts w:ascii="Arial" w:hAnsi="Arial" w:cs="Arial"/>
        </w:rPr>
        <w:t xml:space="preserve">permit detention and treatment without consent. The application of this guideline should however be in the best interests of the patient and should not violate any other right of the patient. Section 2 of the act expressly permit detention for monitoring while section 3 allows for treatment. In the case of Mr. Crawford, if the staff asses a serious risk or if his behavior escalates, the team involved may consider detention in line with </w:t>
      </w:r>
      <w:r w:rsidR="00B91D7D" w:rsidRPr="0048502B">
        <w:rPr>
          <w:rFonts w:ascii="Arial" w:hAnsi="Arial" w:cs="Arial"/>
        </w:rPr>
        <w:t>the Act</w:t>
      </w:r>
      <w:r w:rsidR="00151736" w:rsidRPr="0048502B">
        <w:rPr>
          <w:rFonts w:ascii="Arial" w:hAnsi="Arial" w:cs="Arial"/>
        </w:rPr>
        <w:t xml:space="preserve"> (Equality and Human Rights Commission, 2021)</w:t>
      </w:r>
      <w:r w:rsidR="00B91D7D" w:rsidRPr="0048502B">
        <w:rPr>
          <w:rFonts w:ascii="Arial" w:hAnsi="Arial" w:cs="Arial"/>
        </w:rPr>
        <w:t>.</w:t>
      </w:r>
    </w:p>
    <w:p w:rsidR="00863BAA" w:rsidRPr="0048502B" w:rsidRDefault="001C528B" w:rsidP="005A2704">
      <w:pPr>
        <w:spacing w:after="0" w:line="480" w:lineRule="auto"/>
        <w:ind w:firstLine="720"/>
        <w:rPr>
          <w:rFonts w:ascii="Arial" w:hAnsi="Arial" w:cs="Arial"/>
        </w:rPr>
      </w:pPr>
      <w:r w:rsidRPr="0048502B">
        <w:rPr>
          <w:rFonts w:ascii="Arial" w:hAnsi="Arial" w:cs="Arial"/>
        </w:rPr>
        <w:t xml:space="preserve">Nonetheless, this approach must align with the 1998 Human Rights Act and particularly the right to liberty and right to respect for private life as provided for in Article 5 and Article 8 respectively. </w:t>
      </w:r>
      <w:r w:rsidR="00C82FCA" w:rsidRPr="0048502B">
        <w:rPr>
          <w:rFonts w:ascii="Arial" w:hAnsi="Arial" w:cs="Arial"/>
        </w:rPr>
        <w:t xml:space="preserve">Premature or improper application of detention could constitute a breach of these fundamental rights of the patient. MHA code of practice </w:t>
      </w:r>
      <w:r w:rsidR="00151736" w:rsidRPr="0048502B">
        <w:rPr>
          <w:rFonts w:ascii="Arial" w:hAnsi="Arial" w:cs="Arial"/>
        </w:rPr>
        <w:t xml:space="preserve">(Care Quality Commission, 2020) </w:t>
      </w:r>
      <w:r w:rsidR="00C82FCA" w:rsidRPr="0048502B">
        <w:rPr>
          <w:rFonts w:ascii="Arial" w:hAnsi="Arial" w:cs="Arial"/>
        </w:rPr>
        <w:t xml:space="preserve">require use of least restrictive interventions as well as maximum involvement of the patient in care planning wherever possible. These legal provisions underpin the role of the nurse in guaranteeing justice and ensuring that ethical and legal frameworks are adhered to and actively challenged if abused. </w:t>
      </w:r>
    </w:p>
    <w:p w:rsidR="00C82FCA" w:rsidRPr="0048502B" w:rsidRDefault="00C82FCA" w:rsidP="005A2704">
      <w:pPr>
        <w:spacing w:after="0" w:line="480" w:lineRule="auto"/>
        <w:rPr>
          <w:rFonts w:ascii="Arial" w:hAnsi="Arial" w:cs="Arial"/>
          <w:b/>
        </w:rPr>
      </w:pPr>
      <w:r w:rsidRPr="0048502B">
        <w:rPr>
          <w:rFonts w:ascii="Arial" w:hAnsi="Arial" w:cs="Arial"/>
          <w:b/>
        </w:rPr>
        <w:t xml:space="preserve">Trauma – Informed and Culturally Competent Practice. </w:t>
      </w:r>
    </w:p>
    <w:p w:rsidR="00B145EC" w:rsidRPr="0048502B" w:rsidRDefault="00B145EC" w:rsidP="005A2704">
      <w:pPr>
        <w:spacing w:after="0" w:line="480" w:lineRule="auto"/>
        <w:ind w:firstLine="720"/>
        <w:rPr>
          <w:rFonts w:ascii="Arial" w:hAnsi="Arial" w:cs="Arial"/>
        </w:rPr>
      </w:pPr>
      <w:r w:rsidRPr="0048502B">
        <w:rPr>
          <w:rFonts w:ascii="Arial" w:hAnsi="Arial" w:cs="Arial"/>
        </w:rPr>
        <w:t>Trauma-informed approach is also a major requirement in mental health care delivery</w:t>
      </w:r>
      <w:r w:rsidR="00EE0EDB" w:rsidRPr="0048502B">
        <w:rPr>
          <w:rFonts w:ascii="Arial" w:hAnsi="Arial" w:cs="Arial"/>
        </w:rPr>
        <w:t xml:space="preserve"> (</w:t>
      </w:r>
      <w:r w:rsidR="00EE0EDB" w:rsidRPr="0048502B">
        <w:rPr>
          <w:rFonts w:ascii="Arial" w:eastAsia="Times New Roman" w:hAnsi="Arial" w:cs="Arial"/>
        </w:rPr>
        <w:t>NICE, 2016)</w:t>
      </w:r>
      <w:r w:rsidRPr="0048502B">
        <w:rPr>
          <w:rFonts w:ascii="Arial" w:hAnsi="Arial" w:cs="Arial"/>
        </w:rPr>
        <w:t xml:space="preserve">. This calls for in-depth understanding that challenging conducts may be rooted in adverse experiences in the past or prior trauma. By being agitated and demanding to leave, Mr. </w:t>
      </w:r>
      <w:r w:rsidRPr="0048502B">
        <w:rPr>
          <w:rFonts w:ascii="Arial" w:hAnsi="Arial" w:cs="Arial"/>
        </w:rPr>
        <w:lastRenderedPageBreak/>
        <w:t xml:space="preserve">Crawford’s conduct could be a reflection of mistrust or fear rather than irrationality or unreasonable aggression. </w:t>
      </w:r>
    </w:p>
    <w:p w:rsidR="00B145EC" w:rsidRPr="0048502B" w:rsidRDefault="00B145EC" w:rsidP="005A2704">
      <w:pPr>
        <w:spacing w:after="0" w:line="480" w:lineRule="auto"/>
        <w:ind w:firstLine="720"/>
        <w:rPr>
          <w:rFonts w:ascii="Arial" w:hAnsi="Arial" w:cs="Arial"/>
        </w:rPr>
      </w:pPr>
      <w:r w:rsidRPr="0048502B">
        <w:rPr>
          <w:rFonts w:ascii="Arial" w:hAnsi="Arial" w:cs="Arial"/>
        </w:rPr>
        <w:t xml:space="preserve">A trauma-informed approach, guided by the principles of choice, collaboration, safety, trustworthiness and </w:t>
      </w:r>
      <w:r w:rsidR="004053AB" w:rsidRPr="0048502B">
        <w:rPr>
          <w:rFonts w:ascii="Arial" w:hAnsi="Arial" w:cs="Arial"/>
        </w:rPr>
        <w:t>empowerment would suggest engaging the patient with empathy and calm communication rather than defaulting to control-based interventions such as security involvement or PRN medication</w:t>
      </w:r>
      <w:r w:rsidR="00151736" w:rsidRPr="0048502B">
        <w:rPr>
          <w:rFonts w:ascii="Arial" w:hAnsi="Arial" w:cs="Arial"/>
        </w:rPr>
        <w:t xml:space="preserve"> (Public Health England 2018)</w:t>
      </w:r>
      <w:r w:rsidR="004053AB" w:rsidRPr="0048502B">
        <w:rPr>
          <w:rFonts w:ascii="Arial" w:hAnsi="Arial" w:cs="Arial"/>
        </w:rPr>
        <w:t xml:space="preserve">. </w:t>
      </w:r>
    </w:p>
    <w:p w:rsidR="008D77F0" w:rsidRPr="0048502B" w:rsidRDefault="004053AB" w:rsidP="00151736">
      <w:pPr>
        <w:spacing w:after="0" w:line="480" w:lineRule="auto"/>
        <w:ind w:firstLine="720"/>
        <w:rPr>
          <w:rFonts w:ascii="Arial" w:hAnsi="Arial" w:cs="Arial"/>
        </w:rPr>
      </w:pPr>
      <w:r w:rsidRPr="0048502B">
        <w:rPr>
          <w:rFonts w:ascii="Arial" w:hAnsi="Arial" w:cs="Arial"/>
        </w:rPr>
        <w:t xml:space="preserve">Moreover, cultural competence is an essential consideration. </w:t>
      </w:r>
      <w:r w:rsidR="00BA1E7E" w:rsidRPr="0048502B">
        <w:rPr>
          <w:rFonts w:ascii="Arial" w:hAnsi="Arial" w:cs="Arial"/>
        </w:rPr>
        <w:t>If the patient is from a minoritized background, his perception of authority figures and mental health services might be shaped by prior experiences of exclusion and discrimination</w:t>
      </w:r>
      <w:r w:rsidR="00EE0EDB" w:rsidRPr="0048502B">
        <w:rPr>
          <w:rFonts w:ascii="Arial" w:hAnsi="Arial" w:cs="Arial"/>
        </w:rPr>
        <w:t xml:space="preserve"> (</w:t>
      </w:r>
      <w:r w:rsidR="00EE0EDB" w:rsidRPr="0048502B">
        <w:rPr>
          <w:rFonts w:ascii="Arial" w:eastAsia="Times New Roman" w:hAnsi="Arial" w:cs="Arial"/>
        </w:rPr>
        <w:t>Royal College of Psychiatrists, 2020)</w:t>
      </w:r>
      <w:r w:rsidR="00BA1E7E" w:rsidRPr="0048502B">
        <w:rPr>
          <w:rFonts w:ascii="Arial" w:hAnsi="Arial" w:cs="Arial"/>
        </w:rPr>
        <w:t xml:space="preserve">. According to </w:t>
      </w:r>
      <w:r w:rsidR="00BA1E7E" w:rsidRPr="0048502B">
        <w:rPr>
          <w:rFonts w:ascii="Arial" w:hAnsi="Arial" w:cs="Arial"/>
          <w:b/>
        </w:rPr>
        <w:t>NHS Digital (2022),</w:t>
      </w:r>
      <w:r w:rsidR="00BA1E7E" w:rsidRPr="0048502B">
        <w:rPr>
          <w:rFonts w:ascii="Arial" w:hAnsi="Arial" w:cs="Arial"/>
        </w:rPr>
        <w:t xml:space="preserve"> Black Men in the United Kingdom are disproportionately detained in hospitals under the Mental Health Act, which highlights systemic bias</w:t>
      </w:r>
      <w:r w:rsidR="00151736" w:rsidRPr="0048502B">
        <w:rPr>
          <w:rFonts w:ascii="Arial" w:hAnsi="Arial" w:cs="Arial"/>
        </w:rPr>
        <w:t xml:space="preserve"> (Rethink Mental Illness, n.d.)</w:t>
      </w:r>
      <w:r w:rsidR="00BA1E7E" w:rsidRPr="0048502B">
        <w:rPr>
          <w:rFonts w:ascii="Arial" w:hAnsi="Arial" w:cs="Arial"/>
        </w:rPr>
        <w:t>. Caregivers need to critically consider how unconscious bias coupled with structural inequalities affect their decisions and interpretations of similar scenarios</w:t>
      </w:r>
      <w:r w:rsidR="00EE0EDB" w:rsidRPr="0048502B">
        <w:rPr>
          <w:rFonts w:ascii="Arial" w:hAnsi="Arial" w:cs="Arial"/>
        </w:rPr>
        <w:t xml:space="preserve"> (</w:t>
      </w:r>
      <w:r w:rsidR="00EE0EDB" w:rsidRPr="0048502B">
        <w:rPr>
          <w:rFonts w:ascii="Arial" w:eastAsia="Times New Roman" w:hAnsi="Arial" w:cs="Arial"/>
        </w:rPr>
        <w:t>Equality and Human Rights Commission, 2021)</w:t>
      </w:r>
      <w:r w:rsidR="00BA1E7E" w:rsidRPr="0048502B">
        <w:rPr>
          <w:rFonts w:ascii="Arial" w:hAnsi="Arial" w:cs="Arial"/>
        </w:rPr>
        <w:t xml:space="preserve">. </w:t>
      </w:r>
      <w:r w:rsidR="00151736" w:rsidRPr="0048502B">
        <w:rPr>
          <w:rFonts w:ascii="Arial" w:hAnsi="Arial" w:cs="Arial"/>
        </w:rPr>
        <w:t>The NHS Confederation (2020) and NHS England (2019) both emphasize the need to minimize disparities in mental health access and outcomes through inclusive, culturally aware practices.</w:t>
      </w:r>
    </w:p>
    <w:p w:rsidR="008D77F0" w:rsidRPr="0048502B" w:rsidRDefault="008D77F0" w:rsidP="005A2704">
      <w:pPr>
        <w:spacing w:after="0" w:line="480" w:lineRule="auto"/>
        <w:rPr>
          <w:rFonts w:ascii="Arial" w:hAnsi="Arial" w:cs="Arial"/>
          <w:b/>
        </w:rPr>
      </w:pPr>
      <w:r w:rsidRPr="0048502B">
        <w:rPr>
          <w:rFonts w:ascii="Arial" w:hAnsi="Arial" w:cs="Arial"/>
          <w:b/>
        </w:rPr>
        <w:t>Reflective Practice and Self-Awareness</w:t>
      </w:r>
    </w:p>
    <w:p w:rsidR="00560F90" w:rsidRPr="0048502B" w:rsidRDefault="00560F90" w:rsidP="005A2704">
      <w:pPr>
        <w:spacing w:after="0" w:line="480" w:lineRule="auto"/>
        <w:ind w:firstLine="360"/>
        <w:rPr>
          <w:rStyle w:val="Strong"/>
          <w:rFonts w:ascii="Arial" w:hAnsi="Arial" w:cs="Arial"/>
          <w:b w:val="0"/>
          <w:color w:val="404040"/>
          <w:shd w:val="clear" w:color="auto" w:fill="FFFFFF"/>
        </w:rPr>
      </w:pPr>
      <w:r w:rsidRPr="0048502B">
        <w:rPr>
          <w:rFonts w:ascii="Arial" w:hAnsi="Arial" w:cs="Arial"/>
        </w:rPr>
        <w:t xml:space="preserve">The ethical dilemma at hand could be examined in line with the What? So What? and Now What? reflective model as discussed by </w:t>
      </w:r>
      <w:r w:rsidRPr="0048502B">
        <w:rPr>
          <w:rStyle w:val="Strong"/>
          <w:rFonts w:ascii="Arial" w:hAnsi="Arial" w:cs="Arial"/>
          <w:b w:val="0"/>
          <w:color w:val="404040"/>
          <w:shd w:val="clear" w:color="auto" w:fill="FFFFFF"/>
        </w:rPr>
        <w:t>Smith and Roberts (2023).</w:t>
      </w:r>
    </w:p>
    <w:p w:rsidR="00560F90" w:rsidRPr="0048502B" w:rsidRDefault="00560F90" w:rsidP="005A2704">
      <w:pPr>
        <w:pStyle w:val="ListParagraph"/>
        <w:numPr>
          <w:ilvl w:val="0"/>
          <w:numId w:val="11"/>
        </w:numPr>
        <w:spacing w:after="0" w:line="480" w:lineRule="auto"/>
        <w:rPr>
          <w:rStyle w:val="Strong"/>
          <w:rFonts w:ascii="Arial" w:hAnsi="Arial" w:cs="Arial"/>
          <w:b w:val="0"/>
          <w:color w:val="404040"/>
          <w:shd w:val="clear" w:color="auto" w:fill="FFFFFF"/>
        </w:rPr>
      </w:pPr>
      <w:r w:rsidRPr="0048502B">
        <w:rPr>
          <w:rStyle w:val="Strong"/>
          <w:rFonts w:ascii="Arial" w:hAnsi="Arial" w:cs="Arial"/>
          <w:color w:val="404040"/>
          <w:shd w:val="clear" w:color="auto" w:fill="FFFFFF"/>
        </w:rPr>
        <w:t>What?</w:t>
      </w:r>
      <w:r w:rsidRPr="0048502B">
        <w:rPr>
          <w:rStyle w:val="Strong"/>
          <w:rFonts w:ascii="Arial" w:hAnsi="Arial" w:cs="Arial"/>
          <w:b w:val="0"/>
          <w:color w:val="404040"/>
          <w:shd w:val="clear" w:color="auto" w:fill="FFFFFF"/>
        </w:rPr>
        <w:t xml:space="preserve"> Mr. Crawford</w:t>
      </w:r>
      <w:r w:rsidR="004250B4" w:rsidRPr="0048502B">
        <w:rPr>
          <w:rStyle w:val="Strong"/>
          <w:rFonts w:ascii="Arial" w:hAnsi="Arial" w:cs="Arial"/>
          <w:b w:val="0"/>
          <w:color w:val="404040"/>
          <w:shd w:val="clear" w:color="auto" w:fill="FFFFFF"/>
        </w:rPr>
        <w:t xml:space="preserve"> demands to leave th</w:t>
      </w:r>
      <w:r w:rsidR="0088777F" w:rsidRPr="0048502B">
        <w:rPr>
          <w:rStyle w:val="Strong"/>
          <w:rFonts w:ascii="Arial" w:hAnsi="Arial" w:cs="Arial"/>
          <w:b w:val="0"/>
          <w:color w:val="404040"/>
          <w:shd w:val="clear" w:color="auto" w:fill="FFFFFF"/>
        </w:rPr>
        <w:t xml:space="preserve">e ward, and staff are unsure whether to stop him. </w:t>
      </w:r>
    </w:p>
    <w:p w:rsidR="0088777F" w:rsidRPr="0048502B" w:rsidRDefault="0088777F" w:rsidP="005A2704">
      <w:pPr>
        <w:pStyle w:val="ListParagraph"/>
        <w:numPr>
          <w:ilvl w:val="0"/>
          <w:numId w:val="11"/>
        </w:numPr>
        <w:spacing w:after="0" w:line="480" w:lineRule="auto"/>
        <w:rPr>
          <w:rStyle w:val="Strong"/>
          <w:rFonts w:ascii="Arial" w:hAnsi="Arial" w:cs="Arial"/>
          <w:b w:val="0"/>
          <w:color w:val="404040"/>
          <w:shd w:val="clear" w:color="auto" w:fill="FFFFFF"/>
        </w:rPr>
      </w:pPr>
      <w:r w:rsidRPr="0048502B">
        <w:rPr>
          <w:rStyle w:val="Strong"/>
          <w:rFonts w:ascii="Arial" w:hAnsi="Arial" w:cs="Arial"/>
          <w:color w:val="404040"/>
          <w:shd w:val="clear" w:color="auto" w:fill="FFFFFF"/>
        </w:rPr>
        <w:t>So What?</w:t>
      </w:r>
      <w:r w:rsidRPr="0048502B">
        <w:rPr>
          <w:rStyle w:val="Strong"/>
          <w:rFonts w:ascii="Arial" w:hAnsi="Arial" w:cs="Arial"/>
          <w:b w:val="0"/>
          <w:color w:val="404040"/>
          <w:shd w:val="clear" w:color="auto" w:fill="FFFFFF"/>
        </w:rPr>
        <w:t xml:space="preserve"> There is a risk of neglecting duty of care or violating his rights</w:t>
      </w:r>
    </w:p>
    <w:p w:rsidR="0088777F" w:rsidRPr="0048502B" w:rsidRDefault="0088777F" w:rsidP="005A2704">
      <w:pPr>
        <w:pStyle w:val="ListParagraph"/>
        <w:numPr>
          <w:ilvl w:val="0"/>
          <w:numId w:val="11"/>
        </w:numPr>
        <w:spacing w:after="0" w:line="480" w:lineRule="auto"/>
        <w:rPr>
          <w:rStyle w:val="Strong"/>
          <w:rFonts w:ascii="Arial" w:hAnsi="Arial" w:cs="Arial"/>
          <w:b w:val="0"/>
          <w:color w:val="404040"/>
          <w:shd w:val="clear" w:color="auto" w:fill="FFFFFF"/>
        </w:rPr>
      </w:pPr>
      <w:r w:rsidRPr="0048502B">
        <w:rPr>
          <w:rStyle w:val="Strong"/>
          <w:rFonts w:ascii="Arial" w:hAnsi="Arial" w:cs="Arial"/>
          <w:color w:val="404040"/>
          <w:shd w:val="clear" w:color="auto" w:fill="FFFFFF"/>
        </w:rPr>
        <w:t>Now What?</w:t>
      </w:r>
      <w:r w:rsidRPr="0048502B">
        <w:rPr>
          <w:rStyle w:val="Strong"/>
          <w:rFonts w:ascii="Arial" w:hAnsi="Arial" w:cs="Arial"/>
          <w:b w:val="0"/>
          <w:color w:val="404040"/>
          <w:shd w:val="clear" w:color="auto" w:fill="FFFFFF"/>
        </w:rPr>
        <w:t xml:space="preserve"> The nursing team must apply ethical reasoning, evaluate capacity and involve the MDT while ensuring the patient is heard and respected. </w:t>
      </w:r>
    </w:p>
    <w:p w:rsidR="0088777F" w:rsidRPr="0048502B" w:rsidRDefault="0088777F" w:rsidP="005A2704">
      <w:pPr>
        <w:spacing w:after="0" w:line="480" w:lineRule="auto"/>
        <w:ind w:firstLine="360"/>
        <w:rPr>
          <w:rFonts w:ascii="Arial" w:hAnsi="Arial" w:cs="Arial"/>
          <w:bCs/>
          <w:color w:val="404040"/>
          <w:shd w:val="clear" w:color="auto" w:fill="FFFFFF"/>
        </w:rPr>
      </w:pPr>
      <w:r w:rsidRPr="0048502B">
        <w:rPr>
          <w:rStyle w:val="Strong"/>
          <w:rFonts w:ascii="Arial" w:hAnsi="Arial" w:cs="Arial"/>
          <w:b w:val="0"/>
          <w:color w:val="404040"/>
          <w:shd w:val="clear" w:color="auto" w:fill="FFFFFF"/>
        </w:rPr>
        <w:t xml:space="preserve">Reflecting on Mr. Crawford’s case enhances the ability of the nurse involved to manage similar situations in the future. Critical reflection is a professional requirement in line with the </w:t>
      </w:r>
      <w:r w:rsidRPr="0048502B">
        <w:rPr>
          <w:rStyle w:val="Strong"/>
          <w:rFonts w:ascii="Arial" w:hAnsi="Arial" w:cs="Arial"/>
          <w:b w:val="0"/>
          <w:color w:val="404040"/>
          <w:shd w:val="clear" w:color="auto" w:fill="FFFFFF"/>
        </w:rPr>
        <w:lastRenderedPageBreak/>
        <w:t>NMC code. According to this code, nurses should “practice effectively, preserve safety and promote trust and professionalism”</w:t>
      </w:r>
      <w:r w:rsidR="00DC45E5" w:rsidRPr="0048502B">
        <w:rPr>
          <w:rStyle w:val="Strong"/>
          <w:rFonts w:ascii="Arial" w:hAnsi="Arial" w:cs="Arial"/>
          <w:b w:val="0"/>
          <w:color w:val="404040"/>
          <w:shd w:val="clear" w:color="auto" w:fill="FFFFFF"/>
        </w:rPr>
        <w:t xml:space="preserve"> </w:t>
      </w:r>
      <w:r w:rsidR="00DC45E5" w:rsidRPr="0048502B">
        <w:rPr>
          <w:rFonts w:ascii="Arial" w:hAnsi="Arial" w:cs="Arial"/>
        </w:rPr>
        <w:t>(NMC, 2018; Mental Health First Aid England, n.d.).</w:t>
      </w:r>
      <w:r w:rsidRPr="0048502B">
        <w:rPr>
          <w:rStyle w:val="Strong"/>
          <w:rFonts w:ascii="Arial" w:hAnsi="Arial" w:cs="Arial"/>
          <w:b w:val="0"/>
          <w:color w:val="404040"/>
          <w:shd w:val="clear" w:color="auto" w:fill="FFFFFF"/>
        </w:rPr>
        <w:t xml:space="preserve"> Moreover, such reflection give room for the nurses to consider responses such as judgement, fear or frustration, which might shape actions unconsciously. By taking note of these emotions, caregivers can enhance their emotional intelligence and act more professionally and ethically. </w:t>
      </w:r>
    </w:p>
    <w:p w:rsidR="0088777F" w:rsidRPr="0048502B" w:rsidRDefault="0088777F" w:rsidP="005A2704">
      <w:pPr>
        <w:spacing w:after="0" w:line="480" w:lineRule="auto"/>
        <w:rPr>
          <w:rFonts w:ascii="Arial" w:hAnsi="Arial" w:cs="Arial"/>
          <w:b/>
        </w:rPr>
      </w:pPr>
      <w:r w:rsidRPr="0048502B">
        <w:rPr>
          <w:rFonts w:ascii="Arial" w:hAnsi="Arial" w:cs="Arial"/>
          <w:b/>
        </w:rPr>
        <w:t xml:space="preserve">Power, Authority, and the Risk of Coercion. </w:t>
      </w:r>
    </w:p>
    <w:p w:rsidR="0088777F" w:rsidRPr="0048502B" w:rsidRDefault="0088777F" w:rsidP="005A2704">
      <w:pPr>
        <w:spacing w:after="0" w:line="480" w:lineRule="auto"/>
        <w:ind w:firstLine="720"/>
        <w:rPr>
          <w:rFonts w:ascii="Arial" w:hAnsi="Arial" w:cs="Arial"/>
        </w:rPr>
      </w:pPr>
      <w:r w:rsidRPr="0048502B">
        <w:rPr>
          <w:rFonts w:ascii="Arial" w:hAnsi="Arial" w:cs="Arial"/>
        </w:rPr>
        <w:t>More often than note, Mental health nurses inherently operate in spaces of power asymmetry. In such spaces, patients tend to be vulnerable</w:t>
      </w:r>
      <w:r w:rsidR="00DC45E5" w:rsidRPr="0048502B">
        <w:rPr>
          <w:rFonts w:ascii="Arial" w:hAnsi="Arial" w:cs="Arial"/>
        </w:rPr>
        <w:t xml:space="preserve"> and</w:t>
      </w:r>
      <w:r w:rsidRPr="0048502B">
        <w:rPr>
          <w:rFonts w:ascii="Arial" w:hAnsi="Arial" w:cs="Arial"/>
        </w:rPr>
        <w:t xml:space="preserve"> highly reliant on professionals for care and safety. </w:t>
      </w:r>
      <w:r w:rsidR="00DC0E8D" w:rsidRPr="0048502B">
        <w:rPr>
          <w:rFonts w:ascii="Arial" w:hAnsi="Arial" w:cs="Arial"/>
        </w:rPr>
        <w:t>If unchecked, nurses and caregivers can use this power to coerce, especially where interventions have a legal backing despite raising ethical questions. For instance, while sedating a distressed patient like Mr. Crawford could put the situation under control, such a move could be viewed as punitive or a violation by the patient. This underscores the role of ethical restraint whereby nurses must always evaluate their actions and ensure that they have the best interest of the patient at heart</w:t>
      </w:r>
      <w:r w:rsidR="00DC45E5" w:rsidRPr="0048502B">
        <w:rPr>
          <w:rFonts w:ascii="Arial" w:hAnsi="Arial" w:cs="Arial"/>
        </w:rPr>
        <w:t xml:space="preserve"> (Care Act 2014, 2014; CQC, n.d.)</w:t>
      </w:r>
      <w:r w:rsidR="00DC0E8D" w:rsidRPr="0048502B">
        <w:rPr>
          <w:rFonts w:ascii="Arial" w:hAnsi="Arial" w:cs="Arial"/>
        </w:rPr>
        <w:t xml:space="preserve">. </w:t>
      </w:r>
      <w:r w:rsidR="002C5229" w:rsidRPr="0048502B">
        <w:rPr>
          <w:rFonts w:ascii="Arial" w:hAnsi="Arial" w:cs="Arial"/>
        </w:rPr>
        <w:t>Professional Capabilities Framework(PCF) and Royal College of Nursing (RCN) (2001) guidance emphasize use of rational approaches that prioritize patient engagement and therapeutic alliance as opposed to control and domination</w:t>
      </w:r>
      <w:r w:rsidR="00DC45E5" w:rsidRPr="0048502B">
        <w:rPr>
          <w:rFonts w:ascii="Arial" w:hAnsi="Arial" w:cs="Arial"/>
        </w:rPr>
        <w:t xml:space="preserve"> (Public Health England, 2018)</w:t>
      </w:r>
      <w:r w:rsidR="002C5229" w:rsidRPr="0048502B">
        <w:rPr>
          <w:rFonts w:ascii="Arial" w:hAnsi="Arial" w:cs="Arial"/>
        </w:rPr>
        <w:t xml:space="preserve">. </w:t>
      </w:r>
    </w:p>
    <w:p w:rsidR="00863BAA" w:rsidRPr="0048502B" w:rsidRDefault="002C5229" w:rsidP="005A2704">
      <w:pPr>
        <w:spacing w:after="0" w:line="480" w:lineRule="auto"/>
        <w:rPr>
          <w:rFonts w:ascii="Arial" w:hAnsi="Arial" w:cs="Arial"/>
          <w:b/>
        </w:rPr>
      </w:pPr>
      <w:r w:rsidRPr="0048502B">
        <w:rPr>
          <w:rFonts w:ascii="Arial" w:hAnsi="Arial" w:cs="Arial"/>
          <w:b/>
        </w:rPr>
        <w:t>Emotional Labor and Moral Distress</w:t>
      </w:r>
    </w:p>
    <w:p w:rsidR="00863BAA" w:rsidRPr="0048502B" w:rsidRDefault="002C5229" w:rsidP="005A2704">
      <w:pPr>
        <w:spacing w:after="0" w:line="480" w:lineRule="auto"/>
        <w:ind w:firstLine="720"/>
        <w:rPr>
          <w:rFonts w:ascii="Arial" w:hAnsi="Arial" w:cs="Arial"/>
        </w:rPr>
      </w:pPr>
      <w:r w:rsidRPr="0048502B">
        <w:rPr>
          <w:rFonts w:ascii="Arial" w:hAnsi="Arial" w:cs="Arial"/>
        </w:rPr>
        <w:t>Moral distress is a common experience among Mental Health Nurses. This is the psychological discomfort that arises when one is aware of the right thing to do but is not able to adhere to it due to the institutional and systemic hurdles</w:t>
      </w:r>
      <w:r w:rsidR="00EE0EDB" w:rsidRPr="0048502B">
        <w:rPr>
          <w:rFonts w:ascii="Arial" w:hAnsi="Arial" w:cs="Arial"/>
        </w:rPr>
        <w:t xml:space="preserve"> (</w:t>
      </w:r>
      <w:r w:rsidR="00EE0EDB" w:rsidRPr="0048502B">
        <w:rPr>
          <w:rFonts w:ascii="Arial" w:eastAsia="Times New Roman" w:hAnsi="Arial" w:cs="Arial"/>
        </w:rPr>
        <w:t>Health Foundation, 2021)</w:t>
      </w:r>
      <w:r w:rsidRPr="0048502B">
        <w:rPr>
          <w:rFonts w:ascii="Arial" w:hAnsi="Arial" w:cs="Arial"/>
        </w:rPr>
        <w:t>. In a high-pressure environment, a nurse might feel torn between compliance and compassion. For instance, in the case of Mr. Crawford, a nurse may believe that the appropriate step is to talk to the patient and calm him down, but their view may be overruled by senior staff who probably prefer rapid sedation. This can cause burnout, detachment and emotional exhaustion over time</w:t>
      </w:r>
      <w:r w:rsidR="00DC45E5" w:rsidRPr="0048502B">
        <w:rPr>
          <w:rFonts w:ascii="Arial" w:hAnsi="Arial" w:cs="Arial"/>
        </w:rPr>
        <w:t xml:space="preserve"> (Marmot, 2010)</w:t>
      </w:r>
      <w:r w:rsidRPr="0048502B">
        <w:rPr>
          <w:rFonts w:ascii="Arial" w:hAnsi="Arial" w:cs="Arial"/>
        </w:rPr>
        <w:t>. The NHS People Plan (2020)</w:t>
      </w:r>
      <w:r w:rsidR="00892F26" w:rsidRPr="0048502B">
        <w:rPr>
          <w:rFonts w:ascii="Arial" w:hAnsi="Arial" w:cs="Arial"/>
        </w:rPr>
        <w:t xml:space="preserve"> underscores the need for reflective and safe </w:t>
      </w:r>
      <w:r w:rsidR="00892F26" w:rsidRPr="0048502B">
        <w:rPr>
          <w:rFonts w:ascii="Arial" w:hAnsi="Arial" w:cs="Arial"/>
        </w:rPr>
        <w:lastRenderedPageBreak/>
        <w:t>spaces, such as Schwartz Rounds and clinical supervision, whereby staff can share these dilemmas. Moreover,</w:t>
      </w:r>
      <w:r w:rsidR="00DC45E5" w:rsidRPr="0048502B">
        <w:rPr>
          <w:rFonts w:ascii="Arial" w:hAnsi="Arial" w:cs="Arial"/>
        </w:rPr>
        <w:t xml:space="preserve"> according to The Health Foundation (2020) and Kings Fund (2021a)</w:t>
      </w:r>
      <w:r w:rsidR="00892F26" w:rsidRPr="0048502B">
        <w:rPr>
          <w:rFonts w:ascii="Arial" w:hAnsi="Arial" w:cs="Arial"/>
        </w:rPr>
        <w:t xml:space="preserve"> developing resilience, reflective habits and mindfulness can help nurses process these dilemmas and remain focused in line with their ethical values. </w:t>
      </w:r>
    </w:p>
    <w:p w:rsidR="00892F26" w:rsidRPr="0048502B" w:rsidRDefault="00892F26" w:rsidP="005A2704">
      <w:pPr>
        <w:spacing w:after="0" w:line="480" w:lineRule="auto"/>
        <w:rPr>
          <w:rFonts w:ascii="Arial" w:hAnsi="Arial" w:cs="Arial"/>
          <w:b/>
        </w:rPr>
      </w:pPr>
      <w:r w:rsidRPr="0048502B">
        <w:rPr>
          <w:rFonts w:ascii="Arial" w:hAnsi="Arial" w:cs="Arial"/>
          <w:b/>
        </w:rPr>
        <w:t xml:space="preserve">Interprofessional Collaboration and Ethical Deliberation </w:t>
      </w:r>
    </w:p>
    <w:p w:rsidR="00892F26" w:rsidRPr="0048502B" w:rsidRDefault="00892F26" w:rsidP="005A2704">
      <w:pPr>
        <w:spacing w:after="0" w:line="480" w:lineRule="auto"/>
        <w:ind w:firstLine="720"/>
        <w:rPr>
          <w:rFonts w:ascii="Arial" w:hAnsi="Arial" w:cs="Arial"/>
        </w:rPr>
      </w:pPr>
      <w:r w:rsidRPr="0048502B">
        <w:rPr>
          <w:rFonts w:ascii="Arial" w:hAnsi="Arial" w:cs="Arial"/>
        </w:rPr>
        <w:t xml:space="preserve">Mental health nursing is highly collaborative exercise that brings together nurses, social workers, occupational therapists, peer support groups and psychiatrists. As such pertinent decisions should never be made in isolation. This multidisciplinary team should be engaged in ethical discussions to ensure that diverse views inform the ultimate decisions. </w:t>
      </w:r>
    </w:p>
    <w:p w:rsidR="00B91D7D" w:rsidRPr="0048502B" w:rsidRDefault="00892F26" w:rsidP="005A2704">
      <w:pPr>
        <w:spacing w:after="0" w:line="480" w:lineRule="auto"/>
        <w:ind w:firstLine="720"/>
        <w:rPr>
          <w:rFonts w:ascii="Arial" w:hAnsi="Arial" w:cs="Arial"/>
        </w:rPr>
      </w:pPr>
      <w:r w:rsidRPr="0048502B">
        <w:rPr>
          <w:rFonts w:ascii="Arial" w:hAnsi="Arial" w:cs="Arial"/>
        </w:rPr>
        <w:t xml:space="preserve">In the case at hand, the multidisciplinary team could convene a Best Interest Meeting if the patient lacks capacity. Such a meeting would bring together clinical, legal and social factors. Nurses would play a critical role as patient advocates, therefore ensuring that the voice and history of the patient takes a center stage in the discussion. Professional development also entails building confidence in raising concerns and taking part in ethical debate, as per the NMC standard </w:t>
      </w:r>
      <w:r w:rsidR="00AD55F9" w:rsidRPr="0048502B">
        <w:rPr>
          <w:rFonts w:ascii="Arial" w:hAnsi="Arial" w:cs="Arial"/>
        </w:rPr>
        <w:t>– to act without delay if you believe that there is a risk to patient safety or public protection</w:t>
      </w:r>
      <w:r w:rsidR="00C8402B" w:rsidRPr="0048502B">
        <w:rPr>
          <w:rFonts w:ascii="Arial" w:hAnsi="Arial" w:cs="Arial"/>
        </w:rPr>
        <w:t xml:space="preserve"> (Kings Fund, 2022)</w:t>
      </w:r>
      <w:r w:rsidR="00AD55F9" w:rsidRPr="0048502B">
        <w:rPr>
          <w:rFonts w:ascii="Arial" w:hAnsi="Arial" w:cs="Arial"/>
        </w:rPr>
        <w:t xml:space="preserve">. </w:t>
      </w:r>
    </w:p>
    <w:p w:rsidR="00291FDC" w:rsidRPr="0048502B" w:rsidRDefault="00AD55F9" w:rsidP="00C8402B">
      <w:pPr>
        <w:spacing w:after="0" w:line="480" w:lineRule="auto"/>
        <w:ind w:firstLine="720"/>
        <w:rPr>
          <w:rFonts w:ascii="Arial" w:hAnsi="Arial" w:cs="Arial"/>
        </w:rPr>
      </w:pPr>
      <w:r w:rsidRPr="0048502B">
        <w:rPr>
          <w:rFonts w:ascii="Arial" w:hAnsi="Arial" w:cs="Arial"/>
        </w:rPr>
        <w:t>In conclusion, Mr. Crawford’s case exemplifies the challenging ethical issues that characterizes mental health nursing</w:t>
      </w:r>
      <w:r w:rsidR="00EE0EDB" w:rsidRPr="0048502B">
        <w:rPr>
          <w:rFonts w:ascii="Arial" w:hAnsi="Arial" w:cs="Arial"/>
        </w:rPr>
        <w:t xml:space="preserve"> (</w:t>
      </w:r>
      <w:r w:rsidR="00EE0EDB" w:rsidRPr="0048502B">
        <w:rPr>
          <w:rFonts w:ascii="Arial" w:eastAsia="Times New Roman" w:hAnsi="Arial" w:cs="Arial"/>
        </w:rPr>
        <w:t>Mencap, 2020)</w:t>
      </w:r>
      <w:r w:rsidRPr="0048502B">
        <w:rPr>
          <w:rFonts w:ascii="Arial" w:hAnsi="Arial" w:cs="Arial"/>
        </w:rPr>
        <w:t>. It prompts caregivers to balance legal requirements, ethical frameworks, trauma-informed care and reflective practice. It also highlights the professional and emotional demands placed on nurses who are required to make high-stake decisions in real-time. Through engaging in reflective practice, applying ethical guidelines and promoting interprofessioal dialogue, mental health nurses can guarantee the rights and dignity of individuals while safeguarding their well-being</w:t>
      </w:r>
      <w:r w:rsidR="00EE0EDB" w:rsidRPr="0048502B">
        <w:rPr>
          <w:rFonts w:ascii="Arial" w:hAnsi="Arial" w:cs="Arial"/>
        </w:rPr>
        <w:t xml:space="preserve"> (</w:t>
      </w:r>
      <w:r w:rsidR="00EE0EDB" w:rsidRPr="0048502B">
        <w:rPr>
          <w:rFonts w:ascii="Arial" w:eastAsia="Times New Roman" w:hAnsi="Arial" w:cs="Arial"/>
        </w:rPr>
        <w:t>Care Quality Commission, n.d.)</w:t>
      </w:r>
      <w:r w:rsidRPr="0048502B">
        <w:rPr>
          <w:rFonts w:ascii="Arial" w:hAnsi="Arial" w:cs="Arial"/>
        </w:rPr>
        <w:t xml:space="preserve">. This in-depth analysis has enhanced the understanding of the role of nurses as moral agents, advocates and reflective practitioners. </w:t>
      </w:r>
    </w:p>
    <w:p w:rsidR="00423210" w:rsidRPr="0048502B" w:rsidRDefault="00423210" w:rsidP="005A2704">
      <w:pPr>
        <w:spacing w:after="0" w:line="480" w:lineRule="auto"/>
        <w:jc w:val="center"/>
        <w:rPr>
          <w:rFonts w:ascii="Arial" w:hAnsi="Arial" w:cs="Arial"/>
          <w:b/>
        </w:rPr>
      </w:pPr>
      <w:r w:rsidRPr="0048502B">
        <w:rPr>
          <w:rFonts w:ascii="Arial" w:hAnsi="Arial" w:cs="Arial"/>
          <w:b/>
        </w:rPr>
        <w:t>Recommendations</w:t>
      </w:r>
    </w:p>
    <w:p w:rsidR="00412225" w:rsidRPr="0048502B" w:rsidRDefault="00412225" w:rsidP="005A2704">
      <w:pPr>
        <w:spacing w:after="0" w:line="480" w:lineRule="auto"/>
        <w:ind w:firstLine="720"/>
        <w:rPr>
          <w:rFonts w:ascii="Arial" w:hAnsi="Arial" w:cs="Arial"/>
        </w:rPr>
      </w:pPr>
      <w:r w:rsidRPr="0048502B">
        <w:rPr>
          <w:rFonts w:ascii="Arial" w:hAnsi="Arial" w:cs="Arial"/>
        </w:rPr>
        <w:lastRenderedPageBreak/>
        <w:t xml:space="preserve">To ensure Mr. Crawford receives ethical, lawful, person-centered and safe care, a collaborative and multi-layered approach is necessary. This approach should meet his immediate needs within the facility and support his long-term recovery after discharge. The following recommendations stem from evidence based strategies and professional challenges identified in this report. </w:t>
      </w:r>
    </w:p>
    <w:p w:rsidR="00412225" w:rsidRPr="0048502B" w:rsidRDefault="00412225" w:rsidP="005A2704">
      <w:pPr>
        <w:spacing w:after="0" w:line="480" w:lineRule="auto"/>
        <w:ind w:firstLine="720"/>
        <w:rPr>
          <w:rFonts w:ascii="Arial" w:hAnsi="Arial" w:cs="Arial"/>
        </w:rPr>
      </w:pPr>
      <w:r w:rsidRPr="0048502B">
        <w:rPr>
          <w:rFonts w:ascii="Arial" w:hAnsi="Arial" w:cs="Arial"/>
        </w:rPr>
        <w:t>Firstly, a timely and thorough mental capacity examination should be carried out with respect to the patient’s capacity to make informed choices about his treatment and discharge. This evaluation should be documented in line with the Mental Capacity Act of 2005, ensuring it is in line with the functional test and two-stage criteria</w:t>
      </w:r>
      <w:r w:rsidR="00D42B83" w:rsidRPr="0048502B">
        <w:rPr>
          <w:rFonts w:ascii="Arial" w:hAnsi="Arial" w:cs="Arial"/>
        </w:rPr>
        <w:t xml:space="preserve"> (Kings Fund, 2021b)</w:t>
      </w:r>
      <w:r w:rsidRPr="0048502B">
        <w:rPr>
          <w:rFonts w:ascii="Arial" w:hAnsi="Arial" w:cs="Arial"/>
        </w:rPr>
        <w:t xml:space="preserve">. If its determined that Mr. Crawford lacks capacity, a best interest decision meeting should be convened to bring together the multidisciplinary team where suitable, an Independent Mental Capacity Advocate (IMCA) should be looped in. </w:t>
      </w:r>
    </w:p>
    <w:p w:rsidR="00412225" w:rsidRPr="0048502B" w:rsidRDefault="00E37E12" w:rsidP="005A2704">
      <w:pPr>
        <w:spacing w:after="0" w:line="480" w:lineRule="auto"/>
        <w:ind w:firstLine="720"/>
        <w:rPr>
          <w:rFonts w:ascii="Arial" w:hAnsi="Arial" w:cs="Arial"/>
        </w:rPr>
      </w:pPr>
      <w:r w:rsidRPr="0048502B">
        <w:rPr>
          <w:rFonts w:ascii="Arial" w:hAnsi="Arial" w:cs="Arial"/>
        </w:rPr>
        <w:t xml:space="preserve">Secondly, in the event the patient’s conduct continues to pose risks to himself and others, the team in charge should invoke Deprivation of Liberty Safeguards (DoLS) to ensure transparency and guarantee legal protection. In line with the Right to Liberty as enshrined in Article 5 of Human Rights legislation, any restrictions should be the least restrictive necessary to guarantee his well-being and safety. The care team should regularly evaluate the authorization of DoLS, document all decisions and involve the patient in treatment plan and deliberations as much as possible. </w:t>
      </w:r>
    </w:p>
    <w:p w:rsidR="00E37E12" w:rsidRPr="0048502B" w:rsidRDefault="00E37E12" w:rsidP="005A2704">
      <w:pPr>
        <w:spacing w:after="0" w:line="480" w:lineRule="auto"/>
        <w:ind w:firstLine="720"/>
        <w:rPr>
          <w:rFonts w:ascii="Arial" w:eastAsia="Times New Roman" w:hAnsi="Arial" w:cs="Arial"/>
        </w:rPr>
      </w:pPr>
      <w:r w:rsidRPr="0048502B">
        <w:rPr>
          <w:rFonts w:ascii="Arial" w:eastAsia="Times New Roman" w:hAnsi="Arial" w:cs="Arial"/>
        </w:rPr>
        <w:t>To take care of the patient’s refusal of treatment, particularly in relation to medication side-effects, a personalized medication assessment should be carried out with the psychiatric team. The goal should be to evaluate alternative pharmacological options or change the current dosages to reduce adverse side effects</w:t>
      </w:r>
      <w:r w:rsidR="00EE0EDB" w:rsidRPr="0048502B">
        <w:rPr>
          <w:rFonts w:ascii="Arial" w:eastAsia="Times New Roman" w:hAnsi="Arial" w:cs="Arial"/>
        </w:rPr>
        <w:t xml:space="preserve"> (The King’s Fund, 2021c)</w:t>
      </w:r>
      <w:r w:rsidRPr="0048502B">
        <w:rPr>
          <w:rFonts w:ascii="Arial" w:eastAsia="Times New Roman" w:hAnsi="Arial" w:cs="Arial"/>
        </w:rPr>
        <w:t xml:space="preserve">. Moreover, non-pharmacological interventions, such as applied relaxation techniques and Cognitive Behavioral Therapy (CBT) should be offered as alternative or adjunct strategies, in line with </w:t>
      </w:r>
      <w:r w:rsidR="0090378C" w:rsidRPr="0048502B">
        <w:rPr>
          <w:rFonts w:ascii="Arial" w:eastAsia="Times New Roman" w:hAnsi="Arial" w:cs="Arial"/>
        </w:rPr>
        <w:t>the latest guidelines for anxiety disorder</w:t>
      </w:r>
      <w:r w:rsidR="00D42B83" w:rsidRPr="0048502B">
        <w:rPr>
          <w:rFonts w:ascii="Arial" w:eastAsia="Times New Roman" w:hAnsi="Arial" w:cs="Arial"/>
        </w:rPr>
        <w:t xml:space="preserve"> (</w:t>
      </w:r>
      <w:r w:rsidR="00D42B83" w:rsidRPr="0048502B">
        <w:rPr>
          <w:rFonts w:ascii="Arial" w:hAnsi="Arial" w:cs="Arial"/>
        </w:rPr>
        <w:t>NHS England, 2021)</w:t>
      </w:r>
      <w:r w:rsidR="0090378C" w:rsidRPr="0048502B">
        <w:rPr>
          <w:rFonts w:ascii="Arial" w:eastAsia="Times New Roman" w:hAnsi="Arial" w:cs="Arial"/>
        </w:rPr>
        <w:t xml:space="preserve">. </w:t>
      </w:r>
    </w:p>
    <w:p w:rsidR="0090378C" w:rsidRPr="0048502B" w:rsidRDefault="0090378C" w:rsidP="005A2704">
      <w:pPr>
        <w:spacing w:after="0" w:line="480" w:lineRule="auto"/>
        <w:ind w:firstLine="720"/>
        <w:rPr>
          <w:rFonts w:ascii="Arial" w:eastAsia="Times New Roman" w:hAnsi="Arial" w:cs="Arial"/>
        </w:rPr>
      </w:pPr>
      <w:r w:rsidRPr="0048502B">
        <w:rPr>
          <w:rFonts w:ascii="Arial" w:eastAsia="Times New Roman" w:hAnsi="Arial" w:cs="Arial"/>
        </w:rPr>
        <w:lastRenderedPageBreak/>
        <w:t>To rebuild trust and reduce aggression, improving therapeutic communication is paramount. Nursing team should apply culturally sensitive care, trauma-informed and de-escalation strategies. Providing clear information, reassurance and consistent routines can minimize the anxiety and confusion experienced by Mr. Crawford</w:t>
      </w:r>
      <w:r w:rsidR="00CE3C4A" w:rsidRPr="0048502B">
        <w:rPr>
          <w:rFonts w:ascii="Arial" w:eastAsia="Times New Roman" w:hAnsi="Arial" w:cs="Arial"/>
        </w:rPr>
        <w:t xml:space="preserve"> (Youth Mental Health Foundation, 2021)</w:t>
      </w:r>
      <w:r w:rsidRPr="0048502B">
        <w:rPr>
          <w:rFonts w:ascii="Arial" w:eastAsia="Times New Roman" w:hAnsi="Arial" w:cs="Arial"/>
        </w:rPr>
        <w:t xml:space="preserve">. Where cultural differences or language barriers are present, cultural-liaison workers and professional interpreters should be brought on board. </w:t>
      </w:r>
    </w:p>
    <w:p w:rsidR="0090378C" w:rsidRPr="0048502B" w:rsidRDefault="0090378C" w:rsidP="005A2704">
      <w:pPr>
        <w:spacing w:after="0" w:line="480" w:lineRule="auto"/>
        <w:ind w:firstLine="720"/>
        <w:rPr>
          <w:rFonts w:ascii="Arial" w:eastAsia="Times New Roman" w:hAnsi="Arial" w:cs="Arial"/>
        </w:rPr>
      </w:pPr>
      <w:r w:rsidRPr="0048502B">
        <w:rPr>
          <w:rFonts w:ascii="Arial" w:eastAsia="Times New Roman" w:hAnsi="Arial" w:cs="Arial"/>
        </w:rPr>
        <w:t>From a safeguarding perspective, the patient’s risk of harm upon existing the facility must be mitigated through a thorough risk assessment and discharge planning</w:t>
      </w:r>
      <w:r w:rsidR="00EE0EDB" w:rsidRPr="0048502B">
        <w:rPr>
          <w:rFonts w:ascii="Arial" w:eastAsia="Times New Roman" w:hAnsi="Arial" w:cs="Arial"/>
        </w:rPr>
        <w:t xml:space="preserve"> (Care Quality Commissio, n.d.)</w:t>
      </w:r>
      <w:r w:rsidRPr="0048502B">
        <w:rPr>
          <w:rFonts w:ascii="Arial" w:eastAsia="Times New Roman" w:hAnsi="Arial" w:cs="Arial"/>
        </w:rPr>
        <w:t xml:space="preserve">. The plan should incorporate social support, mental health follow-up and welfare or housing support if deemed necessary. Liaising with family members or any legally appointed Lasting Power of Attorney (LPA) can boost continuity of care. </w:t>
      </w:r>
    </w:p>
    <w:p w:rsidR="0090378C" w:rsidRPr="0048502B" w:rsidRDefault="00946982" w:rsidP="005A2704">
      <w:pPr>
        <w:spacing w:after="0" w:line="480" w:lineRule="auto"/>
        <w:ind w:firstLine="720"/>
        <w:rPr>
          <w:rFonts w:ascii="Arial" w:eastAsia="Times New Roman" w:hAnsi="Arial" w:cs="Arial"/>
        </w:rPr>
      </w:pPr>
      <w:r w:rsidRPr="0048502B">
        <w:rPr>
          <w:rFonts w:ascii="Arial" w:eastAsia="Times New Roman" w:hAnsi="Arial" w:cs="Arial"/>
        </w:rPr>
        <w:t xml:space="preserve">The team should ensure that the patient has equitable access to community resources and that referrals are made to services such as employment assistance, peer support groups or talking therapies in order to address health inequalities. Special considerations should be given to any barriers in relation to stigma, social-economic background or discrimination, in line with the principles outlined in the Kings Fund (2020) and Marmot Review (2010) guidance on population health. </w:t>
      </w:r>
    </w:p>
    <w:p w:rsidR="00946982" w:rsidRPr="0048502B" w:rsidRDefault="00946982" w:rsidP="005A2704">
      <w:pPr>
        <w:spacing w:after="0" w:line="480" w:lineRule="auto"/>
        <w:ind w:firstLine="720"/>
        <w:rPr>
          <w:rFonts w:ascii="Arial" w:eastAsia="Times New Roman" w:hAnsi="Arial" w:cs="Arial"/>
        </w:rPr>
      </w:pPr>
      <w:r w:rsidRPr="0048502B">
        <w:rPr>
          <w:rFonts w:ascii="Arial" w:eastAsia="Times New Roman" w:hAnsi="Arial" w:cs="Arial"/>
        </w:rPr>
        <w:t>Lastly, staff wellbeing and safety must be guaranteed through access to clinical supervision, structured debriefings and team reflection assessments following aggression incidences</w:t>
      </w:r>
      <w:r w:rsidR="00D42B83" w:rsidRPr="0048502B">
        <w:rPr>
          <w:rFonts w:ascii="Arial" w:eastAsia="Times New Roman" w:hAnsi="Arial" w:cs="Arial"/>
        </w:rPr>
        <w:t xml:space="preserve"> (UK Commission for Employment and Skills, 2015)</w:t>
      </w:r>
      <w:r w:rsidRPr="0048502B">
        <w:rPr>
          <w:rFonts w:ascii="Arial" w:eastAsia="Times New Roman" w:hAnsi="Arial" w:cs="Arial"/>
        </w:rPr>
        <w:t xml:space="preserve">. These practices support staff morale and contribute to a more compassionate and safer ward culture. </w:t>
      </w:r>
    </w:p>
    <w:p w:rsidR="00EE0EDB" w:rsidRDefault="00423210" w:rsidP="00306F66">
      <w:pPr>
        <w:spacing w:after="0" w:line="480" w:lineRule="auto"/>
        <w:ind w:firstLine="720"/>
        <w:rPr>
          <w:rFonts w:ascii="Arial" w:eastAsia="Times New Roman" w:hAnsi="Arial" w:cs="Arial"/>
        </w:rPr>
      </w:pPr>
      <w:r w:rsidRPr="0048502B">
        <w:rPr>
          <w:rFonts w:ascii="Arial" w:eastAsia="Times New Roman" w:hAnsi="Arial" w:cs="Arial"/>
        </w:rPr>
        <w:t xml:space="preserve">In </w:t>
      </w:r>
      <w:r w:rsidR="00946982" w:rsidRPr="0048502B">
        <w:rPr>
          <w:rFonts w:ascii="Arial" w:eastAsia="Times New Roman" w:hAnsi="Arial" w:cs="Arial"/>
        </w:rPr>
        <w:t>conclusion</w:t>
      </w:r>
      <w:r w:rsidRPr="0048502B">
        <w:rPr>
          <w:rFonts w:ascii="Arial" w:eastAsia="Times New Roman" w:hAnsi="Arial" w:cs="Arial"/>
        </w:rPr>
        <w:t>, Mr. Crawford’s care</w:t>
      </w:r>
      <w:r w:rsidR="00946982" w:rsidRPr="0048502B">
        <w:rPr>
          <w:rFonts w:ascii="Arial" w:eastAsia="Times New Roman" w:hAnsi="Arial" w:cs="Arial"/>
        </w:rPr>
        <w:t xml:space="preserve"> plan</w:t>
      </w:r>
      <w:r w:rsidRPr="0048502B">
        <w:rPr>
          <w:rFonts w:ascii="Arial" w:eastAsia="Times New Roman" w:hAnsi="Arial" w:cs="Arial"/>
        </w:rPr>
        <w:t xml:space="preserve"> must re</w:t>
      </w:r>
      <w:r w:rsidR="00946982" w:rsidRPr="0048502B">
        <w:rPr>
          <w:rFonts w:ascii="Arial" w:eastAsia="Times New Roman" w:hAnsi="Arial" w:cs="Arial"/>
        </w:rPr>
        <w:t>main grounded in ethical and</w:t>
      </w:r>
      <w:r w:rsidRPr="0048502B">
        <w:rPr>
          <w:rFonts w:ascii="Arial" w:eastAsia="Times New Roman" w:hAnsi="Arial" w:cs="Arial"/>
        </w:rPr>
        <w:t xml:space="preserve"> legal </w:t>
      </w:r>
      <w:r w:rsidR="00946982" w:rsidRPr="0048502B">
        <w:rPr>
          <w:rFonts w:ascii="Arial" w:eastAsia="Times New Roman" w:hAnsi="Arial" w:cs="Arial"/>
        </w:rPr>
        <w:t>frameworks</w:t>
      </w:r>
      <w:r w:rsidRPr="0048502B">
        <w:rPr>
          <w:rFonts w:ascii="Arial" w:eastAsia="Times New Roman" w:hAnsi="Arial" w:cs="Arial"/>
        </w:rPr>
        <w:t xml:space="preserve">, </w:t>
      </w:r>
      <w:r w:rsidR="00946982" w:rsidRPr="0048502B">
        <w:rPr>
          <w:rFonts w:ascii="Arial" w:eastAsia="Times New Roman" w:hAnsi="Arial" w:cs="Arial"/>
        </w:rPr>
        <w:t>prioritizing</w:t>
      </w:r>
      <w:r w:rsidRPr="0048502B">
        <w:rPr>
          <w:rFonts w:ascii="Arial" w:eastAsia="Times New Roman" w:hAnsi="Arial" w:cs="Arial"/>
        </w:rPr>
        <w:t xml:space="preserve"> </w:t>
      </w:r>
      <w:r w:rsidR="00946982" w:rsidRPr="0048502B">
        <w:rPr>
          <w:rFonts w:ascii="Arial" w:eastAsia="Times New Roman" w:hAnsi="Arial" w:cs="Arial"/>
        </w:rPr>
        <w:t xml:space="preserve">safety, </w:t>
      </w:r>
      <w:r w:rsidRPr="0048502B">
        <w:rPr>
          <w:rFonts w:ascii="Arial" w:eastAsia="Times New Roman" w:hAnsi="Arial" w:cs="Arial"/>
        </w:rPr>
        <w:t>autonomy</w:t>
      </w:r>
      <w:r w:rsidR="00946982" w:rsidRPr="0048502B">
        <w:rPr>
          <w:rFonts w:ascii="Arial" w:eastAsia="Times New Roman" w:hAnsi="Arial" w:cs="Arial"/>
        </w:rPr>
        <w:t xml:space="preserve"> </w:t>
      </w:r>
      <w:r w:rsidRPr="0048502B">
        <w:rPr>
          <w:rFonts w:ascii="Arial" w:eastAsia="Times New Roman" w:hAnsi="Arial" w:cs="Arial"/>
        </w:rPr>
        <w:t>and dignity. By promoting multidisciplinary collaboration</w:t>
      </w:r>
      <w:r w:rsidR="00946982" w:rsidRPr="0048502B">
        <w:rPr>
          <w:rFonts w:ascii="Arial" w:eastAsia="Times New Roman" w:hAnsi="Arial" w:cs="Arial"/>
        </w:rPr>
        <w:t>, inclusive</w:t>
      </w:r>
      <w:r w:rsidRPr="0048502B">
        <w:rPr>
          <w:rFonts w:ascii="Arial" w:eastAsia="Times New Roman" w:hAnsi="Arial" w:cs="Arial"/>
        </w:rPr>
        <w:t xml:space="preserve"> and evidence-based </w:t>
      </w:r>
      <w:r w:rsidR="00946982" w:rsidRPr="0048502B">
        <w:rPr>
          <w:rFonts w:ascii="Arial" w:eastAsia="Times New Roman" w:hAnsi="Arial" w:cs="Arial"/>
        </w:rPr>
        <w:t>approach</w:t>
      </w:r>
      <w:r w:rsidRPr="0048502B">
        <w:rPr>
          <w:rFonts w:ascii="Arial" w:eastAsia="Times New Roman" w:hAnsi="Arial" w:cs="Arial"/>
        </w:rPr>
        <w:t xml:space="preserve">, these recommendations aim to </w:t>
      </w:r>
      <w:r w:rsidR="00946982" w:rsidRPr="0048502B">
        <w:rPr>
          <w:rFonts w:ascii="Arial" w:eastAsia="Times New Roman" w:hAnsi="Arial" w:cs="Arial"/>
        </w:rPr>
        <w:t>optimize</w:t>
      </w:r>
      <w:r w:rsidRPr="0048502B">
        <w:rPr>
          <w:rFonts w:ascii="Arial" w:eastAsia="Times New Roman" w:hAnsi="Arial" w:cs="Arial"/>
        </w:rPr>
        <w:t xml:space="preserve"> outcom</w:t>
      </w:r>
      <w:r w:rsidR="00946982" w:rsidRPr="0048502B">
        <w:rPr>
          <w:rFonts w:ascii="Arial" w:eastAsia="Times New Roman" w:hAnsi="Arial" w:cs="Arial"/>
        </w:rPr>
        <w:t>es for both the patient and care givers</w:t>
      </w:r>
      <w:r w:rsidRPr="0048502B">
        <w:rPr>
          <w:rFonts w:ascii="Arial" w:eastAsia="Times New Roman" w:hAnsi="Arial" w:cs="Arial"/>
        </w:rPr>
        <w:t>.</w:t>
      </w:r>
    </w:p>
    <w:p w:rsidR="00306F66" w:rsidRPr="0048502B" w:rsidRDefault="00306F66" w:rsidP="00306F66">
      <w:pPr>
        <w:spacing w:after="0" w:line="480" w:lineRule="auto"/>
        <w:ind w:firstLine="720"/>
        <w:rPr>
          <w:rFonts w:ascii="Arial" w:eastAsia="Times New Roman" w:hAnsi="Arial" w:cs="Arial"/>
        </w:rPr>
      </w:pPr>
    </w:p>
    <w:p w:rsidR="002F38B9" w:rsidRPr="0048502B" w:rsidRDefault="002F38B9" w:rsidP="005A2704">
      <w:pPr>
        <w:spacing w:after="0" w:line="480" w:lineRule="auto"/>
        <w:jc w:val="center"/>
        <w:rPr>
          <w:rFonts w:ascii="Arial" w:eastAsia="Times New Roman" w:hAnsi="Arial" w:cs="Arial"/>
          <w:b/>
        </w:rPr>
      </w:pPr>
      <w:r w:rsidRPr="0048502B">
        <w:rPr>
          <w:rFonts w:ascii="Arial" w:eastAsia="Times New Roman" w:hAnsi="Arial" w:cs="Arial"/>
          <w:b/>
        </w:rPr>
        <w:lastRenderedPageBreak/>
        <w:t>Reference List</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Care Act 2014. (2014) </w:t>
      </w:r>
      <w:r w:rsidRPr="0048502B">
        <w:rPr>
          <w:rFonts w:ascii="Arial" w:eastAsia="Times New Roman" w:hAnsi="Arial" w:cs="Arial"/>
          <w:i/>
          <w:iCs/>
        </w:rPr>
        <w:t>c.23. London: The Stationery Office</w:t>
      </w:r>
      <w:r w:rsidRPr="0048502B">
        <w:rPr>
          <w:rFonts w:ascii="Arial" w:eastAsia="Times New Roman" w:hAnsi="Arial" w:cs="Arial"/>
        </w:rPr>
        <w:t>.</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Care Quality Commission (n.d.) </w:t>
      </w:r>
      <w:r w:rsidRPr="0048502B">
        <w:rPr>
          <w:rFonts w:ascii="Arial" w:eastAsia="Times New Roman" w:hAnsi="Arial" w:cs="Arial"/>
          <w:i/>
          <w:iCs/>
        </w:rPr>
        <w:t>Safeguarding people</w:t>
      </w:r>
      <w:r w:rsidRPr="0048502B">
        <w:rPr>
          <w:rFonts w:ascii="Arial" w:eastAsia="Times New Roman" w:hAnsi="Arial" w:cs="Arial"/>
        </w:rPr>
        <w:t xml:space="preserve">. [Online] Available at: </w:t>
      </w:r>
      <w:hyperlink r:id="rId7" w:history="1">
        <w:r w:rsidR="00BD7FBE" w:rsidRPr="0048502B">
          <w:rPr>
            <w:rStyle w:val="Hyperlink"/>
            <w:rFonts w:ascii="Arial" w:eastAsia="Times New Roman" w:hAnsi="Arial" w:cs="Arial"/>
          </w:rPr>
          <w:t>https://www.cqc.org.uk/guidance-providers/safeguarding-people</w:t>
        </w:r>
      </w:hyperlink>
      <w:r w:rsidR="00BD7FBE" w:rsidRPr="0048502B">
        <w:rPr>
          <w:rFonts w:ascii="Arial" w:eastAsia="Times New Roman" w:hAnsi="Arial" w:cs="Arial"/>
        </w:rPr>
        <w:t xml:space="preserve"> </w:t>
      </w:r>
      <w:r w:rsidRPr="0048502B">
        <w:rPr>
          <w:rFonts w:ascii="Arial" w:eastAsia="Times New Roman" w:hAnsi="Arial" w:cs="Arial"/>
        </w:rPr>
        <w:t>[Accessed 13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Care Quality Commission (2020) </w:t>
      </w:r>
      <w:r w:rsidRPr="0048502B">
        <w:rPr>
          <w:rFonts w:ascii="Arial" w:eastAsia="Times New Roman" w:hAnsi="Arial" w:cs="Arial"/>
          <w:i/>
          <w:iCs/>
        </w:rPr>
        <w:t>Assessment of Mental Health in Acute Hospitals (AMSAT) Report</w:t>
      </w:r>
      <w:r w:rsidRPr="0048502B">
        <w:rPr>
          <w:rFonts w:ascii="Arial" w:eastAsia="Times New Roman" w:hAnsi="Arial" w:cs="Arial"/>
        </w:rPr>
        <w:t xml:space="preserve">. [Online] Available at: </w:t>
      </w:r>
      <w:hyperlink r:id="rId8" w:tgtFrame="_new" w:history="1">
        <w:r w:rsidRPr="0048502B">
          <w:rPr>
            <w:rStyle w:val="Hyperlink"/>
            <w:rFonts w:ascii="Arial" w:eastAsia="Times New Roman" w:hAnsi="Arial" w:cs="Arial"/>
          </w:rPr>
          <w:t>https://www.cqc.org.uk/sites/default/files/20201016b_AMSAT_report.pdf</w:t>
        </w:r>
      </w:hyperlink>
      <w:r w:rsidRPr="0048502B">
        <w:rPr>
          <w:rFonts w:ascii="Arial" w:eastAsia="Times New Roman" w:hAnsi="Arial" w:cs="Arial"/>
        </w:rPr>
        <w:t xml:space="preserve"> [Accessed 13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Department of Health and Social Care</w:t>
      </w:r>
      <w:r w:rsidR="00EE0EDB" w:rsidRPr="0048502B">
        <w:rPr>
          <w:rFonts w:ascii="Arial" w:eastAsia="Times New Roman" w:hAnsi="Arial" w:cs="Arial"/>
        </w:rPr>
        <w:t>.</w:t>
      </w:r>
      <w:r w:rsidRPr="0048502B">
        <w:rPr>
          <w:rFonts w:ascii="Arial" w:eastAsia="Times New Roman" w:hAnsi="Arial" w:cs="Arial"/>
        </w:rPr>
        <w:t xml:space="preserve"> (2018) </w:t>
      </w:r>
      <w:r w:rsidRPr="0048502B">
        <w:rPr>
          <w:rFonts w:ascii="Arial" w:eastAsia="Times New Roman" w:hAnsi="Arial" w:cs="Arial"/>
          <w:i/>
          <w:iCs/>
        </w:rPr>
        <w:t>Modernising the Mental Health Act</w:t>
      </w:r>
      <w:r w:rsidRPr="0048502B">
        <w:rPr>
          <w:rFonts w:ascii="Arial" w:eastAsia="Times New Roman" w:hAnsi="Arial" w:cs="Arial"/>
        </w:rPr>
        <w:t>. London: DHSC.</w:t>
      </w:r>
    </w:p>
    <w:p w:rsidR="00EE0E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Health Foundation (2021) </w:t>
      </w:r>
      <w:r w:rsidRPr="0048502B">
        <w:rPr>
          <w:rFonts w:ascii="Arial" w:eastAsia="Times New Roman" w:hAnsi="Arial" w:cs="Arial"/>
          <w:i/>
          <w:iCs/>
        </w:rPr>
        <w:t>The Role of Anchor Institutions</w:t>
      </w:r>
      <w:r w:rsidRPr="0048502B">
        <w:rPr>
          <w:rFonts w:ascii="Arial" w:eastAsia="Times New Roman" w:hAnsi="Arial" w:cs="Arial"/>
        </w:rPr>
        <w:t xml:space="preserve">. [Online] Available at: </w:t>
      </w:r>
      <w:hyperlink r:id="rId9" w:tgtFrame="_new" w:history="1">
        <w:r w:rsidRPr="0048502B">
          <w:rPr>
            <w:rStyle w:val="Hyperlink"/>
            <w:rFonts w:ascii="Arial" w:eastAsia="Times New Roman" w:hAnsi="Arial" w:cs="Arial"/>
          </w:rPr>
          <w:t>https://www.health.org.uk</w:t>
        </w:r>
      </w:hyperlink>
      <w:r w:rsidRPr="0048502B">
        <w:rPr>
          <w:rFonts w:ascii="Arial" w:eastAsia="Times New Roman" w:hAnsi="Arial" w:cs="Arial"/>
        </w:rPr>
        <w:t xml:space="preserve"> [Accessed 11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Kings Fund (2021a) </w:t>
      </w:r>
      <w:r w:rsidRPr="0048502B">
        <w:rPr>
          <w:rFonts w:ascii="Arial" w:eastAsia="Times New Roman" w:hAnsi="Arial" w:cs="Arial"/>
          <w:i/>
          <w:iCs/>
        </w:rPr>
        <w:t>Anchor Institutions and People’s Health</w:t>
      </w:r>
      <w:r w:rsidRPr="0048502B">
        <w:rPr>
          <w:rFonts w:ascii="Arial" w:eastAsia="Times New Roman" w:hAnsi="Arial" w:cs="Arial"/>
        </w:rPr>
        <w:t xml:space="preserve">. [Online] Available at: </w:t>
      </w:r>
      <w:hyperlink r:id="rId10" w:tgtFrame="_new" w:history="1">
        <w:r w:rsidRPr="0048502B">
          <w:rPr>
            <w:rStyle w:val="Hyperlink"/>
            <w:rFonts w:ascii="Arial" w:eastAsia="Times New Roman" w:hAnsi="Arial" w:cs="Arial"/>
          </w:rPr>
          <w:t>https://www.kingsfund.org.uk/publications/anchor-institutions-and-peoples-health</w:t>
        </w:r>
      </w:hyperlink>
      <w:r w:rsidRPr="0048502B">
        <w:rPr>
          <w:rFonts w:ascii="Arial" w:eastAsia="Times New Roman" w:hAnsi="Arial" w:cs="Arial"/>
        </w:rPr>
        <w:t xml:space="preserve"> [Accessed 10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Kings Fund (2021b) </w:t>
      </w:r>
      <w:r w:rsidRPr="0048502B">
        <w:rPr>
          <w:rFonts w:ascii="Arial" w:eastAsia="Times New Roman" w:hAnsi="Arial" w:cs="Arial"/>
          <w:i/>
          <w:iCs/>
        </w:rPr>
        <w:t>Population Health Systems</w:t>
      </w:r>
      <w:r w:rsidRPr="0048502B">
        <w:rPr>
          <w:rFonts w:ascii="Arial" w:eastAsia="Times New Roman" w:hAnsi="Arial" w:cs="Arial"/>
        </w:rPr>
        <w:t xml:space="preserve">. [Online] Available at: </w:t>
      </w:r>
      <w:hyperlink r:id="rId11" w:history="1">
        <w:r w:rsidR="00BD7FBE" w:rsidRPr="0048502B">
          <w:rPr>
            <w:rStyle w:val="Hyperlink"/>
            <w:rFonts w:ascii="Arial" w:eastAsia="Times New Roman" w:hAnsi="Arial" w:cs="Arial"/>
          </w:rPr>
          <w:t>https://www.kingsfund.org.uk/publications/population-health-systems</w:t>
        </w:r>
      </w:hyperlink>
      <w:r w:rsidR="00BD7FBE" w:rsidRPr="0048502B">
        <w:rPr>
          <w:rFonts w:ascii="Arial" w:eastAsia="Times New Roman" w:hAnsi="Arial" w:cs="Arial"/>
        </w:rPr>
        <w:t xml:space="preserve"> </w:t>
      </w:r>
      <w:r w:rsidRPr="0048502B">
        <w:rPr>
          <w:rFonts w:ascii="Arial" w:eastAsia="Times New Roman" w:hAnsi="Arial" w:cs="Arial"/>
        </w:rPr>
        <w:t>[Accessed 10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Kings Fund (2022)</w:t>
      </w:r>
      <w:r w:rsidR="00BD7FBE" w:rsidRPr="0048502B">
        <w:rPr>
          <w:rFonts w:ascii="Arial" w:eastAsia="Times New Roman" w:hAnsi="Arial" w:cs="Arial"/>
        </w:rPr>
        <w:t>.</w:t>
      </w:r>
      <w:r w:rsidRPr="0048502B">
        <w:rPr>
          <w:rFonts w:ascii="Arial" w:eastAsia="Times New Roman" w:hAnsi="Arial" w:cs="Arial"/>
        </w:rPr>
        <w:t xml:space="preserve"> </w:t>
      </w:r>
      <w:r w:rsidRPr="0048502B">
        <w:rPr>
          <w:rFonts w:ascii="Arial" w:eastAsia="Times New Roman" w:hAnsi="Arial" w:cs="Arial"/>
          <w:i/>
          <w:iCs/>
        </w:rPr>
        <w:t>What are Health Inequalities?</w:t>
      </w:r>
      <w:r w:rsidRPr="0048502B">
        <w:rPr>
          <w:rFonts w:ascii="Arial" w:eastAsia="Times New Roman" w:hAnsi="Arial" w:cs="Arial"/>
        </w:rPr>
        <w:t xml:space="preserve"> [Online] Available at: </w:t>
      </w:r>
      <w:hyperlink r:id="rId12" w:tgtFrame="_new" w:history="1">
        <w:r w:rsidRPr="0048502B">
          <w:rPr>
            <w:rStyle w:val="Hyperlink"/>
            <w:rFonts w:ascii="Arial" w:eastAsia="Times New Roman" w:hAnsi="Arial" w:cs="Arial"/>
          </w:rPr>
          <w:t>https://www.kingsfund.org.uk/publications/what-are-health-inequalities</w:t>
        </w:r>
      </w:hyperlink>
      <w:r w:rsidRPr="0048502B">
        <w:rPr>
          <w:rFonts w:ascii="Arial" w:eastAsia="Times New Roman" w:hAnsi="Arial" w:cs="Arial"/>
        </w:rPr>
        <w:t xml:space="preserve"> [Accessed 10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Marmot, M. (2010) </w:t>
      </w:r>
      <w:r w:rsidRPr="0048502B">
        <w:rPr>
          <w:rFonts w:ascii="Arial" w:eastAsia="Times New Roman" w:hAnsi="Arial" w:cs="Arial"/>
          <w:i/>
          <w:iCs/>
        </w:rPr>
        <w:t>Fair Society, Healthy Lives: The Marmot Review</w:t>
      </w:r>
      <w:r w:rsidRPr="0048502B">
        <w:rPr>
          <w:rFonts w:ascii="Arial" w:eastAsia="Times New Roman" w:hAnsi="Arial" w:cs="Arial"/>
        </w:rPr>
        <w:t>. London: UCL Institute of Health Equity.</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Mencap (2020) </w:t>
      </w:r>
      <w:r w:rsidRPr="0048502B">
        <w:rPr>
          <w:rFonts w:ascii="Arial" w:eastAsia="Times New Roman" w:hAnsi="Arial" w:cs="Arial"/>
          <w:i/>
          <w:iCs/>
        </w:rPr>
        <w:t>Mental Health and People with a Learning Disability</w:t>
      </w:r>
      <w:r w:rsidRPr="0048502B">
        <w:rPr>
          <w:rFonts w:ascii="Arial" w:eastAsia="Times New Roman" w:hAnsi="Arial" w:cs="Arial"/>
        </w:rPr>
        <w:t xml:space="preserve">. [Online] Available at: </w:t>
      </w:r>
      <w:hyperlink r:id="rId13" w:tgtFrame="_new" w:history="1">
        <w:r w:rsidRPr="0048502B">
          <w:rPr>
            <w:rStyle w:val="Hyperlink"/>
            <w:rFonts w:ascii="Arial" w:eastAsia="Times New Roman" w:hAnsi="Arial" w:cs="Arial"/>
          </w:rPr>
          <w:t>https://www.mencap.org.uk</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lastRenderedPageBreak/>
        <w:t xml:space="preserve">Mental Health First Aid England (n.d.) </w:t>
      </w:r>
      <w:r w:rsidRPr="0048502B">
        <w:rPr>
          <w:rFonts w:ascii="Arial" w:eastAsia="Times New Roman" w:hAnsi="Arial" w:cs="Arial"/>
          <w:i/>
          <w:iCs/>
        </w:rPr>
        <w:t>MHFA Training Courses</w:t>
      </w:r>
      <w:r w:rsidRPr="0048502B">
        <w:rPr>
          <w:rFonts w:ascii="Arial" w:eastAsia="Times New Roman" w:hAnsi="Arial" w:cs="Arial"/>
        </w:rPr>
        <w:t xml:space="preserve">. [Online] Available at: </w:t>
      </w:r>
      <w:hyperlink r:id="rId14" w:tgtFrame="_new" w:history="1">
        <w:r w:rsidRPr="0048502B">
          <w:rPr>
            <w:rStyle w:val="Hyperlink"/>
            <w:rFonts w:ascii="Arial" w:eastAsia="Times New Roman" w:hAnsi="Arial" w:cs="Arial"/>
          </w:rPr>
          <w:t>https://mhfaengland.org</w:t>
        </w:r>
      </w:hyperlink>
      <w:r w:rsidRPr="0048502B">
        <w:rPr>
          <w:rFonts w:ascii="Arial" w:eastAsia="Times New Roman" w:hAnsi="Arial" w:cs="Arial"/>
        </w:rPr>
        <w:t xml:space="preserve"> [Accessed 11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Mental Health Foundation (n.d.) </w:t>
      </w:r>
      <w:r w:rsidRPr="0048502B">
        <w:rPr>
          <w:rFonts w:ascii="Arial" w:eastAsia="Times New Roman" w:hAnsi="Arial" w:cs="Arial"/>
          <w:i/>
          <w:iCs/>
        </w:rPr>
        <w:t>Mental Health Statistics</w:t>
      </w:r>
      <w:r w:rsidRPr="0048502B">
        <w:rPr>
          <w:rFonts w:ascii="Arial" w:eastAsia="Times New Roman" w:hAnsi="Arial" w:cs="Arial"/>
        </w:rPr>
        <w:t xml:space="preserve">. [Online] Available at: </w:t>
      </w:r>
      <w:hyperlink r:id="rId15" w:tgtFrame="_new" w:history="1">
        <w:r w:rsidRPr="0048502B">
          <w:rPr>
            <w:rStyle w:val="Hyperlink"/>
            <w:rFonts w:ascii="Arial" w:eastAsia="Times New Roman" w:hAnsi="Arial" w:cs="Arial"/>
          </w:rPr>
          <w:t>https://www.mentalhealth.org.uk</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Mind (n.d.) </w:t>
      </w:r>
      <w:r w:rsidRPr="0048502B">
        <w:rPr>
          <w:rFonts w:ascii="Arial" w:eastAsia="Times New Roman" w:hAnsi="Arial" w:cs="Arial"/>
          <w:i/>
          <w:iCs/>
        </w:rPr>
        <w:t>About Sectioning and the Mental Health Act</w:t>
      </w:r>
      <w:r w:rsidRPr="0048502B">
        <w:rPr>
          <w:rFonts w:ascii="Arial" w:eastAsia="Times New Roman" w:hAnsi="Arial" w:cs="Arial"/>
        </w:rPr>
        <w:t xml:space="preserve">. [Online] Available at: </w:t>
      </w:r>
      <w:hyperlink r:id="rId16" w:tgtFrame="_new" w:history="1">
        <w:r w:rsidRPr="0048502B">
          <w:rPr>
            <w:rStyle w:val="Hyperlink"/>
            <w:rFonts w:ascii="Arial" w:eastAsia="Times New Roman" w:hAnsi="Arial" w:cs="Arial"/>
          </w:rPr>
          <w:t>https://www.mind.org.uk</w:t>
        </w:r>
      </w:hyperlink>
      <w:r w:rsidRPr="0048502B">
        <w:rPr>
          <w:rFonts w:ascii="Arial" w:eastAsia="Times New Roman" w:hAnsi="Arial" w:cs="Arial"/>
        </w:rPr>
        <w:t xml:space="preserve"> [Accessed 11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National Institute for Health and Care Excellence (NICE) (2016) </w:t>
      </w:r>
      <w:r w:rsidRPr="0048502B">
        <w:rPr>
          <w:rFonts w:ascii="Arial" w:eastAsia="Times New Roman" w:hAnsi="Arial" w:cs="Arial"/>
          <w:i/>
          <w:iCs/>
        </w:rPr>
        <w:t>Mental Health Problems in People with Learning Disabilities: Prevention, Assessment and Management</w:t>
      </w:r>
      <w:r w:rsidRPr="0048502B">
        <w:rPr>
          <w:rFonts w:ascii="Arial" w:eastAsia="Times New Roman" w:hAnsi="Arial" w:cs="Arial"/>
        </w:rPr>
        <w:t>. London: NICE.</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NHS Confederation (2020) </w:t>
      </w:r>
      <w:r w:rsidRPr="0048502B">
        <w:rPr>
          <w:rFonts w:ascii="Arial" w:eastAsia="Times New Roman" w:hAnsi="Arial" w:cs="Arial"/>
          <w:i/>
          <w:iCs/>
        </w:rPr>
        <w:t>Reducing Health Inequalities: The Role of the NHS</w:t>
      </w:r>
      <w:r w:rsidRPr="0048502B">
        <w:rPr>
          <w:rFonts w:ascii="Arial" w:eastAsia="Times New Roman" w:hAnsi="Arial" w:cs="Arial"/>
        </w:rPr>
        <w:t xml:space="preserve">. [Online] Available at: </w:t>
      </w:r>
      <w:hyperlink r:id="rId17" w:tgtFrame="_new" w:history="1">
        <w:r w:rsidRPr="0048502B">
          <w:rPr>
            <w:rStyle w:val="Hyperlink"/>
            <w:rFonts w:ascii="Arial" w:eastAsia="Times New Roman" w:hAnsi="Arial" w:cs="Arial"/>
          </w:rPr>
          <w:t>https://www.nhsconfed.org</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NHS England (2019) </w:t>
      </w:r>
      <w:r w:rsidRPr="0048502B">
        <w:rPr>
          <w:rFonts w:ascii="Arial" w:eastAsia="Times New Roman" w:hAnsi="Arial" w:cs="Arial"/>
          <w:i/>
          <w:iCs/>
        </w:rPr>
        <w:t>Advancing Mental Health Equality Strategy</w:t>
      </w:r>
      <w:r w:rsidRPr="0048502B">
        <w:rPr>
          <w:rFonts w:ascii="Arial" w:eastAsia="Times New Roman" w:hAnsi="Arial" w:cs="Arial"/>
        </w:rPr>
        <w:t xml:space="preserve">. [Online] Available at: </w:t>
      </w:r>
      <w:hyperlink r:id="rId18" w:tgtFrame="_new" w:history="1">
        <w:r w:rsidRPr="0048502B">
          <w:rPr>
            <w:rStyle w:val="Hyperlink"/>
            <w:rFonts w:ascii="Arial" w:eastAsia="Times New Roman" w:hAnsi="Arial" w:cs="Arial"/>
          </w:rPr>
          <w:t>https://www.england.nhs.uk</w:t>
        </w:r>
      </w:hyperlink>
      <w:r w:rsidRPr="0048502B">
        <w:rPr>
          <w:rFonts w:ascii="Arial" w:eastAsia="Times New Roman" w:hAnsi="Arial" w:cs="Arial"/>
        </w:rPr>
        <w:t xml:space="preserve"> [Accessed 13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NHS England (2021) </w:t>
      </w:r>
      <w:r w:rsidRPr="0048502B">
        <w:rPr>
          <w:rFonts w:ascii="Arial" w:eastAsia="Times New Roman" w:hAnsi="Arial" w:cs="Arial"/>
          <w:i/>
          <w:iCs/>
        </w:rPr>
        <w:t>Core20PLUS5 – Reducing Health Inequalities</w:t>
      </w:r>
      <w:r w:rsidRPr="0048502B">
        <w:rPr>
          <w:rFonts w:ascii="Arial" w:eastAsia="Times New Roman" w:hAnsi="Arial" w:cs="Arial"/>
        </w:rPr>
        <w:t xml:space="preserve">. [Online] Available at: </w:t>
      </w:r>
      <w:hyperlink r:id="rId19" w:tgtFrame="_new" w:history="1">
        <w:r w:rsidRPr="0048502B">
          <w:rPr>
            <w:rStyle w:val="Hyperlink"/>
            <w:rFonts w:ascii="Arial" w:eastAsia="Times New Roman" w:hAnsi="Arial" w:cs="Arial"/>
          </w:rPr>
          <w:t>https://www.england.nhs.uk</w:t>
        </w:r>
      </w:hyperlink>
      <w:r w:rsidRPr="0048502B">
        <w:rPr>
          <w:rFonts w:ascii="Arial" w:eastAsia="Times New Roman" w:hAnsi="Arial" w:cs="Arial"/>
        </w:rPr>
        <w:t xml:space="preserve"> [Accessed 13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Office for National Statistics (2021) </w:t>
      </w:r>
      <w:r w:rsidRPr="0048502B">
        <w:rPr>
          <w:rFonts w:ascii="Arial" w:eastAsia="Times New Roman" w:hAnsi="Arial" w:cs="Arial"/>
          <w:i/>
          <w:iCs/>
        </w:rPr>
        <w:t>Adult Psychiatric Morbidity Survey</w:t>
      </w:r>
      <w:r w:rsidRPr="0048502B">
        <w:rPr>
          <w:rFonts w:ascii="Arial" w:eastAsia="Times New Roman" w:hAnsi="Arial" w:cs="Arial"/>
        </w:rPr>
        <w:t xml:space="preserve">. [Online] Available at: </w:t>
      </w:r>
      <w:hyperlink r:id="rId20" w:tgtFrame="_new" w:history="1">
        <w:r w:rsidRPr="0048502B">
          <w:rPr>
            <w:rStyle w:val="Hyperlink"/>
            <w:rFonts w:ascii="Arial" w:eastAsia="Times New Roman" w:hAnsi="Arial" w:cs="Arial"/>
          </w:rPr>
          <w:t>https://www.ons.gov.uk</w:t>
        </w:r>
      </w:hyperlink>
      <w:r w:rsidRPr="0048502B">
        <w:rPr>
          <w:rFonts w:ascii="Arial" w:eastAsia="Times New Roman" w:hAnsi="Arial" w:cs="Arial"/>
        </w:rPr>
        <w:t xml:space="preserve"> [Accessed 13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Public Health England</w:t>
      </w:r>
      <w:r w:rsidR="00BD7FBE" w:rsidRPr="0048502B">
        <w:rPr>
          <w:rFonts w:ascii="Arial" w:eastAsia="Times New Roman" w:hAnsi="Arial" w:cs="Arial"/>
        </w:rPr>
        <w:t>.</w:t>
      </w:r>
      <w:r w:rsidRPr="0048502B">
        <w:rPr>
          <w:rFonts w:ascii="Arial" w:eastAsia="Times New Roman" w:hAnsi="Arial" w:cs="Arial"/>
        </w:rPr>
        <w:t xml:space="preserve"> (2018) </w:t>
      </w:r>
      <w:r w:rsidRPr="0048502B">
        <w:rPr>
          <w:rFonts w:ascii="Arial" w:eastAsia="Times New Roman" w:hAnsi="Arial" w:cs="Arial"/>
          <w:i/>
          <w:iCs/>
        </w:rPr>
        <w:t>Trauma-Informed Care in Mental Health Settings</w:t>
      </w:r>
      <w:r w:rsidRPr="0048502B">
        <w:rPr>
          <w:rFonts w:ascii="Arial" w:eastAsia="Times New Roman" w:hAnsi="Arial" w:cs="Arial"/>
        </w:rPr>
        <w:t>. London: PHE.</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Rethink Mental Illness (n.d.) </w:t>
      </w:r>
      <w:r w:rsidRPr="0048502B">
        <w:rPr>
          <w:rFonts w:ascii="Arial" w:eastAsia="Times New Roman" w:hAnsi="Arial" w:cs="Arial"/>
          <w:i/>
          <w:iCs/>
        </w:rPr>
        <w:t>Black Asian and Minority Ethnic Communities and Mental Health</w:t>
      </w:r>
      <w:r w:rsidRPr="0048502B">
        <w:rPr>
          <w:rFonts w:ascii="Arial" w:eastAsia="Times New Roman" w:hAnsi="Arial" w:cs="Arial"/>
        </w:rPr>
        <w:t xml:space="preserve">. [Online] Available at: </w:t>
      </w:r>
      <w:hyperlink r:id="rId21" w:tgtFrame="_new" w:history="1">
        <w:r w:rsidRPr="0048502B">
          <w:rPr>
            <w:rStyle w:val="Hyperlink"/>
            <w:rFonts w:ascii="Arial" w:eastAsia="Times New Roman" w:hAnsi="Arial" w:cs="Arial"/>
          </w:rPr>
          <w:t>https://www.rethink.org</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Royal College of Psychiatrists (2020) </w:t>
      </w:r>
      <w:r w:rsidRPr="0048502B">
        <w:rPr>
          <w:rFonts w:ascii="Arial" w:eastAsia="Times New Roman" w:hAnsi="Arial" w:cs="Arial"/>
          <w:i/>
          <w:iCs/>
        </w:rPr>
        <w:t>Mental Health Inequalities</w:t>
      </w:r>
      <w:r w:rsidRPr="0048502B">
        <w:rPr>
          <w:rFonts w:ascii="Arial" w:eastAsia="Times New Roman" w:hAnsi="Arial" w:cs="Arial"/>
        </w:rPr>
        <w:t xml:space="preserve">. [Online] Available at: </w:t>
      </w:r>
      <w:hyperlink r:id="rId22" w:tgtFrame="_new" w:history="1">
        <w:r w:rsidRPr="0048502B">
          <w:rPr>
            <w:rStyle w:val="Hyperlink"/>
            <w:rFonts w:ascii="Arial" w:eastAsia="Times New Roman" w:hAnsi="Arial" w:cs="Arial"/>
          </w:rPr>
          <w:t>https://www.rcpsych.ac.uk</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Social Care Institute for Excellence (SCIE) (2021) </w:t>
      </w:r>
      <w:r w:rsidRPr="0048502B">
        <w:rPr>
          <w:rFonts w:ascii="Arial" w:eastAsia="Times New Roman" w:hAnsi="Arial" w:cs="Arial"/>
          <w:i/>
          <w:iCs/>
        </w:rPr>
        <w:t>Safeguarding Principles and Practice</w:t>
      </w:r>
      <w:r w:rsidRPr="0048502B">
        <w:rPr>
          <w:rFonts w:ascii="Arial" w:eastAsia="Times New Roman" w:hAnsi="Arial" w:cs="Arial"/>
        </w:rPr>
        <w:t xml:space="preserve">. [Online] Available at: </w:t>
      </w:r>
      <w:hyperlink r:id="rId23" w:tgtFrame="_new" w:history="1">
        <w:r w:rsidRPr="0048502B">
          <w:rPr>
            <w:rStyle w:val="Hyperlink"/>
            <w:rFonts w:ascii="Arial" w:eastAsia="Times New Roman" w:hAnsi="Arial" w:cs="Arial"/>
          </w:rPr>
          <w:t>https://www.scie.org.uk</w:t>
        </w:r>
      </w:hyperlink>
      <w:r w:rsidRPr="0048502B">
        <w:rPr>
          <w:rFonts w:ascii="Arial" w:eastAsia="Times New Roman" w:hAnsi="Arial" w:cs="Arial"/>
        </w:rPr>
        <w:t xml:space="preserve"> [Accessed 13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The Health Foundation (2020) </w:t>
      </w:r>
      <w:r w:rsidRPr="0048502B">
        <w:rPr>
          <w:rFonts w:ascii="Arial" w:eastAsia="Times New Roman" w:hAnsi="Arial" w:cs="Arial"/>
          <w:i/>
          <w:iCs/>
        </w:rPr>
        <w:t>Tackling the Root Causes of Health Inequalities</w:t>
      </w:r>
      <w:r w:rsidRPr="0048502B">
        <w:rPr>
          <w:rFonts w:ascii="Arial" w:eastAsia="Times New Roman" w:hAnsi="Arial" w:cs="Arial"/>
        </w:rPr>
        <w:t xml:space="preserve">. [Online] Available at: </w:t>
      </w:r>
      <w:hyperlink r:id="rId24" w:tgtFrame="_new" w:history="1">
        <w:r w:rsidRPr="0048502B">
          <w:rPr>
            <w:rStyle w:val="Hyperlink"/>
            <w:rFonts w:ascii="Arial" w:eastAsia="Times New Roman" w:hAnsi="Arial" w:cs="Arial"/>
          </w:rPr>
          <w:t>https://www.health.org.uk</w:t>
        </w:r>
      </w:hyperlink>
      <w:r w:rsidRPr="0048502B">
        <w:rPr>
          <w:rFonts w:ascii="Arial" w:eastAsia="Times New Roman" w:hAnsi="Arial" w:cs="Arial"/>
        </w:rPr>
        <w:t xml:space="preserve"> [Accessed 11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lastRenderedPageBreak/>
        <w:t xml:space="preserve">The King’s Fund (2021c) </w:t>
      </w:r>
      <w:r w:rsidRPr="0048502B">
        <w:rPr>
          <w:rFonts w:ascii="Arial" w:eastAsia="Times New Roman" w:hAnsi="Arial" w:cs="Arial"/>
          <w:i/>
          <w:iCs/>
        </w:rPr>
        <w:t>A Vision for Population Health</w:t>
      </w:r>
      <w:r w:rsidRPr="0048502B">
        <w:rPr>
          <w:rFonts w:ascii="Arial" w:eastAsia="Times New Roman" w:hAnsi="Arial" w:cs="Arial"/>
        </w:rPr>
        <w:t xml:space="preserve">. [Online] Available at: </w:t>
      </w:r>
      <w:hyperlink r:id="rId25" w:tgtFrame="_new" w:history="1">
        <w:r w:rsidRPr="0048502B">
          <w:rPr>
            <w:rStyle w:val="Hyperlink"/>
            <w:rFonts w:ascii="Arial" w:eastAsia="Times New Roman" w:hAnsi="Arial" w:cs="Arial"/>
          </w:rPr>
          <w:t>https://www.kingsfund.org.uk</w:t>
        </w:r>
      </w:hyperlink>
      <w:r w:rsidRPr="0048502B">
        <w:rPr>
          <w:rFonts w:ascii="Arial" w:eastAsia="Times New Roman" w:hAnsi="Arial" w:cs="Arial"/>
        </w:rPr>
        <w:t xml:space="preserve"> [Accessed 10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UK Commission for Employment and Skills (UKCES)</w:t>
      </w:r>
      <w:r w:rsidR="00BD7FBE" w:rsidRPr="0048502B">
        <w:rPr>
          <w:rFonts w:ascii="Arial" w:eastAsia="Times New Roman" w:hAnsi="Arial" w:cs="Arial"/>
        </w:rPr>
        <w:t>.</w:t>
      </w:r>
      <w:r w:rsidRPr="0048502B">
        <w:rPr>
          <w:rFonts w:ascii="Arial" w:eastAsia="Times New Roman" w:hAnsi="Arial" w:cs="Arial"/>
        </w:rPr>
        <w:t xml:space="preserve"> (2015) </w:t>
      </w:r>
      <w:r w:rsidRPr="0048502B">
        <w:rPr>
          <w:rFonts w:ascii="Arial" w:eastAsia="Times New Roman" w:hAnsi="Arial" w:cs="Arial"/>
          <w:i/>
          <w:iCs/>
        </w:rPr>
        <w:t>Growth through People: The Role of Anchor Institutions</w:t>
      </w:r>
      <w:r w:rsidRPr="0048502B">
        <w:rPr>
          <w:rFonts w:ascii="Arial" w:eastAsia="Times New Roman" w:hAnsi="Arial" w:cs="Arial"/>
        </w:rPr>
        <w:t>. London: UKCES.</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University College London</w:t>
      </w:r>
      <w:r w:rsidR="00BD7FBE" w:rsidRPr="0048502B">
        <w:rPr>
          <w:rFonts w:ascii="Arial" w:eastAsia="Times New Roman" w:hAnsi="Arial" w:cs="Arial"/>
        </w:rPr>
        <w:t>.</w:t>
      </w:r>
      <w:r w:rsidRPr="0048502B">
        <w:rPr>
          <w:rFonts w:ascii="Arial" w:eastAsia="Times New Roman" w:hAnsi="Arial" w:cs="Arial"/>
        </w:rPr>
        <w:t xml:space="preserve"> (2021) </w:t>
      </w:r>
      <w:r w:rsidRPr="0048502B">
        <w:rPr>
          <w:rFonts w:ascii="Arial" w:eastAsia="Times New Roman" w:hAnsi="Arial" w:cs="Arial"/>
          <w:i/>
          <w:iCs/>
        </w:rPr>
        <w:t>Marmot Indicators 2020</w:t>
      </w:r>
      <w:r w:rsidRPr="0048502B">
        <w:rPr>
          <w:rFonts w:ascii="Arial" w:eastAsia="Times New Roman" w:hAnsi="Arial" w:cs="Arial"/>
        </w:rPr>
        <w:t xml:space="preserve">. [Online] Available at: </w:t>
      </w:r>
      <w:hyperlink r:id="rId26" w:tgtFrame="_new" w:history="1">
        <w:r w:rsidRPr="0048502B">
          <w:rPr>
            <w:rStyle w:val="Hyperlink"/>
            <w:rFonts w:ascii="Arial" w:eastAsia="Times New Roman" w:hAnsi="Arial" w:cs="Arial"/>
          </w:rPr>
          <w:t>https://www.ucl.ac.uk</w:t>
        </w:r>
      </w:hyperlink>
      <w:r w:rsidRPr="0048502B">
        <w:rPr>
          <w:rFonts w:ascii="Arial" w:eastAsia="Times New Roman" w:hAnsi="Arial" w:cs="Arial"/>
        </w:rPr>
        <w:t xml:space="preserve"> [Accessed 11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World Health Organization (2022) </w:t>
      </w:r>
      <w:r w:rsidRPr="0048502B">
        <w:rPr>
          <w:rFonts w:ascii="Arial" w:eastAsia="Times New Roman" w:hAnsi="Arial" w:cs="Arial"/>
          <w:i/>
          <w:iCs/>
        </w:rPr>
        <w:t>Mental Health and Social Determinants</w:t>
      </w:r>
      <w:r w:rsidRPr="0048502B">
        <w:rPr>
          <w:rFonts w:ascii="Arial" w:eastAsia="Times New Roman" w:hAnsi="Arial" w:cs="Arial"/>
        </w:rPr>
        <w:t xml:space="preserve">. [Online] Available at: </w:t>
      </w:r>
      <w:hyperlink r:id="rId27" w:tgtFrame="_new" w:history="1">
        <w:r w:rsidRPr="0048502B">
          <w:rPr>
            <w:rStyle w:val="Hyperlink"/>
            <w:rFonts w:ascii="Arial" w:eastAsia="Times New Roman" w:hAnsi="Arial" w:cs="Arial"/>
          </w:rPr>
          <w:t>https://www.who.int</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World Health Organization</w:t>
      </w:r>
      <w:r w:rsidR="00BD7FBE" w:rsidRPr="0048502B">
        <w:rPr>
          <w:rFonts w:ascii="Arial" w:eastAsia="Times New Roman" w:hAnsi="Arial" w:cs="Arial"/>
        </w:rPr>
        <w:t>.</w:t>
      </w:r>
      <w:r w:rsidRPr="0048502B">
        <w:rPr>
          <w:rFonts w:ascii="Arial" w:eastAsia="Times New Roman" w:hAnsi="Arial" w:cs="Arial"/>
        </w:rPr>
        <w:t xml:space="preserve"> (2021) </w:t>
      </w:r>
      <w:r w:rsidRPr="0048502B">
        <w:rPr>
          <w:rFonts w:ascii="Arial" w:eastAsia="Times New Roman" w:hAnsi="Arial" w:cs="Arial"/>
          <w:i/>
          <w:iCs/>
        </w:rPr>
        <w:t>Mental Health Atlas</w:t>
      </w:r>
      <w:r w:rsidRPr="0048502B">
        <w:rPr>
          <w:rFonts w:ascii="Arial" w:eastAsia="Times New Roman" w:hAnsi="Arial" w:cs="Arial"/>
        </w:rPr>
        <w:t>. Geneva: WHO.</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Youth Mental Health Foundation (2021) </w:t>
      </w:r>
      <w:r w:rsidRPr="0048502B">
        <w:rPr>
          <w:rFonts w:ascii="Arial" w:eastAsia="Times New Roman" w:hAnsi="Arial" w:cs="Arial"/>
          <w:i/>
          <w:iCs/>
        </w:rPr>
        <w:t>Young People and Mental Health Inequalities</w:t>
      </w:r>
      <w:r w:rsidRPr="0048502B">
        <w:rPr>
          <w:rFonts w:ascii="Arial" w:eastAsia="Times New Roman" w:hAnsi="Arial" w:cs="Arial"/>
        </w:rPr>
        <w:t xml:space="preserve">. [Online] Available at: </w:t>
      </w:r>
      <w:hyperlink r:id="rId28" w:tgtFrame="_new" w:history="1">
        <w:r w:rsidRPr="0048502B">
          <w:rPr>
            <w:rStyle w:val="Hyperlink"/>
            <w:rFonts w:ascii="Arial" w:eastAsia="Times New Roman" w:hAnsi="Arial" w:cs="Arial"/>
          </w:rPr>
          <w:t>https://www.ymhf.org.uk</w:t>
        </w:r>
      </w:hyperlink>
      <w:r w:rsidRPr="0048502B">
        <w:rPr>
          <w:rFonts w:ascii="Arial" w:eastAsia="Times New Roman" w:hAnsi="Arial" w:cs="Arial"/>
        </w:rPr>
        <w:t xml:space="preserve"> [Accessed 11 May 2025].</w:t>
      </w:r>
    </w:p>
    <w:p w:rsidR="00615FDB" w:rsidRPr="0048502B" w:rsidRDefault="00615FDB" w:rsidP="00615FDB">
      <w:pPr>
        <w:spacing w:after="0" w:line="480" w:lineRule="auto"/>
        <w:ind w:left="720" w:hanging="720"/>
        <w:rPr>
          <w:rFonts w:ascii="Arial" w:eastAsia="Times New Roman" w:hAnsi="Arial" w:cs="Arial"/>
        </w:rPr>
      </w:pPr>
      <w:r w:rsidRPr="0048502B">
        <w:rPr>
          <w:rFonts w:ascii="Arial" w:eastAsia="Times New Roman" w:hAnsi="Arial" w:cs="Arial"/>
        </w:rPr>
        <w:t xml:space="preserve">Equality and Human Rights Commission (2021) </w:t>
      </w:r>
      <w:r w:rsidRPr="0048502B">
        <w:rPr>
          <w:rFonts w:ascii="Arial" w:eastAsia="Times New Roman" w:hAnsi="Arial" w:cs="Arial"/>
          <w:i/>
          <w:iCs/>
        </w:rPr>
        <w:t>How Fair is Britain?</w:t>
      </w:r>
      <w:r w:rsidRPr="0048502B">
        <w:rPr>
          <w:rFonts w:ascii="Arial" w:eastAsia="Times New Roman" w:hAnsi="Arial" w:cs="Arial"/>
        </w:rPr>
        <w:t xml:space="preserve"> [Online] Available at: </w:t>
      </w:r>
      <w:hyperlink r:id="rId29" w:tgtFrame="_new" w:history="1">
        <w:r w:rsidRPr="0048502B">
          <w:rPr>
            <w:rStyle w:val="Hyperlink"/>
            <w:rFonts w:ascii="Arial" w:eastAsia="Times New Roman" w:hAnsi="Arial" w:cs="Arial"/>
          </w:rPr>
          <w:t>https://www.equalityhumanrights.com</w:t>
        </w:r>
      </w:hyperlink>
      <w:r w:rsidRPr="0048502B">
        <w:rPr>
          <w:rFonts w:ascii="Arial" w:eastAsia="Times New Roman" w:hAnsi="Arial" w:cs="Arial"/>
        </w:rPr>
        <w:t xml:space="preserve"> [Accessed 12 May 2025].</w:t>
      </w:r>
    </w:p>
    <w:p w:rsidR="00615FDB" w:rsidRPr="0048502B" w:rsidRDefault="00615FDB" w:rsidP="00615FDB">
      <w:pPr>
        <w:spacing w:after="0" w:line="480" w:lineRule="auto"/>
        <w:rPr>
          <w:rFonts w:ascii="Arial" w:eastAsia="Times New Roman" w:hAnsi="Arial" w:cs="Arial"/>
          <w:b/>
        </w:rPr>
      </w:pPr>
    </w:p>
    <w:p w:rsidR="00615FDB" w:rsidRPr="0048502B" w:rsidRDefault="00615FDB" w:rsidP="005A2704">
      <w:pPr>
        <w:spacing w:after="0" w:line="480" w:lineRule="auto"/>
        <w:rPr>
          <w:rFonts w:ascii="Arial" w:eastAsia="Times New Roman" w:hAnsi="Arial" w:cs="Arial"/>
        </w:rPr>
      </w:pPr>
    </w:p>
    <w:p w:rsidR="00D73D53" w:rsidRPr="00636F97" w:rsidRDefault="00D73D53" w:rsidP="005A2704">
      <w:pPr>
        <w:spacing w:after="0" w:line="480" w:lineRule="auto"/>
        <w:rPr>
          <w:rFonts w:ascii="Arial" w:eastAsia="Times New Roman" w:hAnsi="Arial" w:cs="Arial"/>
        </w:rPr>
      </w:pPr>
    </w:p>
    <w:p w:rsidR="00423210" w:rsidRPr="0048502B" w:rsidRDefault="00423210" w:rsidP="005A2704">
      <w:pPr>
        <w:spacing w:after="0" w:line="480" w:lineRule="auto"/>
        <w:rPr>
          <w:rFonts w:ascii="Arial" w:hAnsi="Arial" w:cs="Arial"/>
          <w:b/>
        </w:rPr>
      </w:pPr>
    </w:p>
    <w:p w:rsidR="00423210" w:rsidRPr="0048502B" w:rsidRDefault="00423210" w:rsidP="005A2704">
      <w:pPr>
        <w:spacing w:after="0" w:line="480" w:lineRule="auto"/>
        <w:rPr>
          <w:rFonts w:ascii="Arial" w:eastAsia="Times New Roman" w:hAnsi="Arial" w:cs="Arial"/>
          <w:b/>
        </w:rPr>
      </w:pPr>
    </w:p>
    <w:p w:rsidR="00685525" w:rsidRPr="0048502B" w:rsidRDefault="00685525" w:rsidP="005A2704">
      <w:pPr>
        <w:spacing w:after="0" w:line="480" w:lineRule="auto"/>
        <w:rPr>
          <w:rFonts w:ascii="Arial" w:hAnsi="Arial" w:cs="Arial"/>
        </w:rPr>
      </w:pPr>
    </w:p>
    <w:sectPr w:rsidR="00685525" w:rsidRPr="0048502B">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1E" w:rsidRDefault="00CB231E" w:rsidP="0048502B">
      <w:pPr>
        <w:spacing w:after="0" w:line="240" w:lineRule="auto"/>
      </w:pPr>
      <w:r>
        <w:separator/>
      </w:r>
    </w:p>
  </w:endnote>
  <w:endnote w:type="continuationSeparator" w:id="0">
    <w:p w:rsidR="00CB231E" w:rsidRDefault="00CB231E" w:rsidP="0048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1E" w:rsidRDefault="00CB231E" w:rsidP="0048502B">
      <w:pPr>
        <w:spacing w:after="0" w:line="240" w:lineRule="auto"/>
      </w:pPr>
      <w:r>
        <w:separator/>
      </w:r>
    </w:p>
  </w:footnote>
  <w:footnote w:type="continuationSeparator" w:id="0">
    <w:p w:rsidR="00CB231E" w:rsidRDefault="00CB231E" w:rsidP="0048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81002"/>
      <w:docPartObj>
        <w:docPartGallery w:val="Page Numbers (Top of Page)"/>
        <w:docPartUnique/>
      </w:docPartObj>
    </w:sdtPr>
    <w:sdtEndPr>
      <w:rPr>
        <w:noProof/>
      </w:rPr>
    </w:sdtEndPr>
    <w:sdtContent>
      <w:p w:rsidR="0048502B" w:rsidRDefault="0048502B">
        <w:pPr>
          <w:pStyle w:val="Header"/>
          <w:jc w:val="right"/>
        </w:pPr>
        <w:r>
          <w:fldChar w:fldCharType="begin"/>
        </w:r>
        <w:r>
          <w:instrText xml:space="preserve"> PAGE   \* MERGEFORMAT </w:instrText>
        </w:r>
        <w:r>
          <w:fldChar w:fldCharType="separate"/>
        </w:r>
        <w:r w:rsidR="00046BC5">
          <w:rPr>
            <w:noProof/>
          </w:rPr>
          <w:t>1</w:t>
        </w:r>
        <w:r>
          <w:rPr>
            <w:noProof/>
          </w:rPr>
          <w:fldChar w:fldCharType="end"/>
        </w:r>
      </w:p>
    </w:sdtContent>
  </w:sdt>
  <w:p w:rsidR="0048502B" w:rsidRDefault="004850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AA9"/>
    <w:multiLevelType w:val="multilevel"/>
    <w:tmpl w:val="D930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54C24"/>
    <w:multiLevelType w:val="hybridMultilevel"/>
    <w:tmpl w:val="A08EF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471C1"/>
    <w:multiLevelType w:val="multilevel"/>
    <w:tmpl w:val="5D82DA1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11D44"/>
    <w:multiLevelType w:val="multilevel"/>
    <w:tmpl w:val="88C21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24A5C"/>
    <w:multiLevelType w:val="multilevel"/>
    <w:tmpl w:val="E362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311F"/>
    <w:multiLevelType w:val="multilevel"/>
    <w:tmpl w:val="4390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C225B"/>
    <w:multiLevelType w:val="multilevel"/>
    <w:tmpl w:val="89AA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A6908"/>
    <w:multiLevelType w:val="multilevel"/>
    <w:tmpl w:val="6F12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F378AC"/>
    <w:multiLevelType w:val="hybridMultilevel"/>
    <w:tmpl w:val="EBCEDE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AC220B"/>
    <w:multiLevelType w:val="multilevel"/>
    <w:tmpl w:val="641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E70EA"/>
    <w:multiLevelType w:val="multilevel"/>
    <w:tmpl w:val="0ED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C0624"/>
    <w:multiLevelType w:val="multilevel"/>
    <w:tmpl w:val="87D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8"/>
  </w:num>
  <w:num w:numId="4">
    <w:abstractNumId w:val="7"/>
  </w:num>
  <w:num w:numId="5">
    <w:abstractNumId w:val="6"/>
  </w:num>
  <w:num w:numId="6">
    <w:abstractNumId w:val="11"/>
  </w:num>
  <w:num w:numId="7">
    <w:abstractNumId w:val="5"/>
  </w:num>
  <w:num w:numId="8">
    <w:abstractNumId w:val="10"/>
  </w:num>
  <w:num w:numId="9">
    <w:abstractNumId w:val="4"/>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C0"/>
    <w:rsid w:val="00046BC5"/>
    <w:rsid w:val="000617FB"/>
    <w:rsid w:val="00151736"/>
    <w:rsid w:val="001A59F5"/>
    <w:rsid w:val="001C2F59"/>
    <w:rsid w:val="001C528B"/>
    <w:rsid w:val="001D7A44"/>
    <w:rsid w:val="00264C44"/>
    <w:rsid w:val="00291FDC"/>
    <w:rsid w:val="002A04AC"/>
    <w:rsid w:val="002C5229"/>
    <w:rsid w:val="002F38B9"/>
    <w:rsid w:val="00306F66"/>
    <w:rsid w:val="00322E34"/>
    <w:rsid w:val="003618C0"/>
    <w:rsid w:val="003D2A01"/>
    <w:rsid w:val="004053AB"/>
    <w:rsid w:val="00412225"/>
    <w:rsid w:val="00423210"/>
    <w:rsid w:val="004250B4"/>
    <w:rsid w:val="00446454"/>
    <w:rsid w:val="0048502B"/>
    <w:rsid w:val="00560F90"/>
    <w:rsid w:val="005A2704"/>
    <w:rsid w:val="00615FDB"/>
    <w:rsid w:val="00636F97"/>
    <w:rsid w:val="00662156"/>
    <w:rsid w:val="00685525"/>
    <w:rsid w:val="006D7959"/>
    <w:rsid w:val="006F3140"/>
    <w:rsid w:val="00863BAA"/>
    <w:rsid w:val="0088777F"/>
    <w:rsid w:val="00892F26"/>
    <w:rsid w:val="008D77F0"/>
    <w:rsid w:val="0090378C"/>
    <w:rsid w:val="00946982"/>
    <w:rsid w:val="00955EB9"/>
    <w:rsid w:val="009C15CC"/>
    <w:rsid w:val="00AB2C73"/>
    <w:rsid w:val="00AD55F9"/>
    <w:rsid w:val="00B145EC"/>
    <w:rsid w:val="00B24A43"/>
    <w:rsid w:val="00B31494"/>
    <w:rsid w:val="00B91D7D"/>
    <w:rsid w:val="00BA1E7E"/>
    <w:rsid w:val="00BA3E44"/>
    <w:rsid w:val="00BD7FBE"/>
    <w:rsid w:val="00C82FCA"/>
    <w:rsid w:val="00C8402B"/>
    <w:rsid w:val="00CB231E"/>
    <w:rsid w:val="00CC4BE2"/>
    <w:rsid w:val="00CE3C4A"/>
    <w:rsid w:val="00D01A7C"/>
    <w:rsid w:val="00D42B83"/>
    <w:rsid w:val="00D73D53"/>
    <w:rsid w:val="00DB0B6E"/>
    <w:rsid w:val="00DC0E8D"/>
    <w:rsid w:val="00DC45E5"/>
    <w:rsid w:val="00E25EA8"/>
    <w:rsid w:val="00E37E12"/>
    <w:rsid w:val="00E85FB1"/>
    <w:rsid w:val="00EE0EDB"/>
    <w:rsid w:val="00FA0C27"/>
    <w:rsid w:val="00FD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D5A8"/>
  <w15:chartTrackingRefBased/>
  <w15:docId w15:val="{E058A4C5-CF0E-466A-8D6B-D8406479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A0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8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8C0"/>
    <w:rPr>
      <w:b/>
      <w:bCs/>
    </w:rPr>
  </w:style>
  <w:style w:type="character" w:styleId="Emphasis">
    <w:name w:val="Emphasis"/>
    <w:basedOn w:val="DefaultParagraphFont"/>
    <w:uiPriority w:val="20"/>
    <w:qFormat/>
    <w:rsid w:val="003618C0"/>
    <w:rPr>
      <w:i/>
      <w:iCs/>
    </w:rPr>
  </w:style>
  <w:style w:type="paragraph" w:styleId="ListParagraph">
    <w:name w:val="List Paragraph"/>
    <w:basedOn w:val="Normal"/>
    <w:uiPriority w:val="34"/>
    <w:qFormat/>
    <w:rsid w:val="003618C0"/>
    <w:pPr>
      <w:ind w:left="720"/>
      <w:contextualSpacing/>
    </w:pPr>
  </w:style>
  <w:style w:type="character" w:customStyle="1" w:styleId="Heading3Char">
    <w:name w:val="Heading 3 Char"/>
    <w:basedOn w:val="DefaultParagraphFont"/>
    <w:link w:val="Heading3"/>
    <w:uiPriority w:val="9"/>
    <w:rsid w:val="00FA0C2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73D53"/>
    <w:rPr>
      <w:color w:val="0000FF"/>
      <w:u w:val="single"/>
    </w:rPr>
  </w:style>
  <w:style w:type="paragraph" w:styleId="Header">
    <w:name w:val="header"/>
    <w:basedOn w:val="Normal"/>
    <w:link w:val="HeaderChar"/>
    <w:uiPriority w:val="99"/>
    <w:unhideWhenUsed/>
    <w:rsid w:val="0048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2B"/>
  </w:style>
  <w:style w:type="paragraph" w:styleId="Footer">
    <w:name w:val="footer"/>
    <w:basedOn w:val="Normal"/>
    <w:link w:val="FooterChar"/>
    <w:uiPriority w:val="99"/>
    <w:unhideWhenUsed/>
    <w:rsid w:val="0048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6813">
      <w:bodyDiv w:val="1"/>
      <w:marLeft w:val="0"/>
      <w:marRight w:val="0"/>
      <w:marTop w:val="0"/>
      <w:marBottom w:val="0"/>
      <w:divBdr>
        <w:top w:val="none" w:sz="0" w:space="0" w:color="auto"/>
        <w:left w:val="none" w:sz="0" w:space="0" w:color="auto"/>
        <w:bottom w:val="none" w:sz="0" w:space="0" w:color="auto"/>
        <w:right w:val="none" w:sz="0" w:space="0" w:color="auto"/>
      </w:divBdr>
    </w:div>
    <w:div w:id="208493092">
      <w:bodyDiv w:val="1"/>
      <w:marLeft w:val="0"/>
      <w:marRight w:val="0"/>
      <w:marTop w:val="0"/>
      <w:marBottom w:val="0"/>
      <w:divBdr>
        <w:top w:val="none" w:sz="0" w:space="0" w:color="auto"/>
        <w:left w:val="none" w:sz="0" w:space="0" w:color="auto"/>
        <w:bottom w:val="none" w:sz="0" w:space="0" w:color="auto"/>
        <w:right w:val="none" w:sz="0" w:space="0" w:color="auto"/>
      </w:divBdr>
    </w:div>
    <w:div w:id="226648383">
      <w:bodyDiv w:val="1"/>
      <w:marLeft w:val="0"/>
      <w:marRight w:val="0"/>
      <w:marTop w:val="0"/>
      <w:marBottom w:val="0"/>
      <w:divBdr>
        <w:top w:val="none" w:sz="0" w:space="0" w:color="auto"/>
        <w:left w:val="none" w:sz="0" w:space="0" w:color="auto"/>
        <w:bottom w:val="none" w:sz="0" w:space="0" w:color="auto"/>
        <w:right w:val="none" w:sz="0" w:space="0" w:color="auto"/>
      </w:divBdr>
    </w:div>
    <w:div w:id="413088426">
      <w:bodyDiv w:val="1"/>
      <w:marLeft w:val="0"/>
      <w:marRight w:val="0"/>
      <w:marTop w:val="0"/>
      <w:marBottom w:val="0"/>
      <w:divBdr>
        <w:top w:val="none" w:sz="0" w:space="0" w:color="auto"/>
        <w:left w:val="none" w:sz="0" w:space="0" w:color="auto"/>
        <w:bottom w:val="none" w:sz="0" w:space="0" w:color="auto"/>
        <w:right w:val="none" w:sz="0" w:space="0" w:color="auto"/>
      </w:divBdr>
    </w:div>
    <w:div w:id="413817398">
      <w:bodyDiv w:val="1"/>
      <w:marLeft w:val="0"/>
      <w:marRight w:val="0"/>
      <w:marTop w:val="0"/>
      <w:marBottom w:val="0"/>
      <w:divBdr>
        <w:top w:val="none" w:sz="0" w:space="0" w:color="auto"/>
        <w:left w:val="none" w:sz="0" w:space="0" w:color="auto"/>
        <w:bottom w:val="none" w:sz="0" w:space="0" w:color="auto"/>
        <w:right w:val="none" w:sz="0" w:space="0" w:color="auto"/>
      </w:divBdr>
    </w:div>
    <w:div w:id="512189453">
      <w:bodyDiv w:val="1"/>
      <w:marLeft w:val="0"/>
      <w:marRight w:val="0"/>
      <w:marTop w:val="0"/>
      <w:marBottom w:val="0"/>
      <w:divBdr>
        <w:top w:val="none" w:sz="0" w:space="0" w:color="auto"/>
        <w:left w:val="none" w:sz="0" w:space="0" w:color="auto"/>
        <w:bottom w:val="none" w:sz="0" w:space="0" w:color="auto"/>
        <w:right w:val="none" w:sz="0" w:space="0" w:color="auto"/>
      </w:divBdr>
    </w:div>
    <w:div w:id="835801096">
      <w:bodyDiv w:val="1"/>
      <w:marLeft w:val="0"/>
      <w:marRight w:val="0"/>
      <w:marTop w:val="0"/>
      <w:marBottom w:val="0"/>
      <w:divBdr>
        <w:top w:val="none" w:sz="0" w:space="0" w:color="auto"/>
        <w:left w:val="none" w:sz="0" w:space="0" w:color="auto"/>
        <w:bottom w:val="none" w:sz="0" w:space="0" w:color="auto"/>
        <w:right w:val="none" w:sz="0" w:space="0" w:color="auto"/>
      </w:divBdr>
    </w:div>
    <w:div w:id="843277696">
      <w:bodyDiv w:val="1"/>
      <w:marLeft w:val="0"/>
      <w:marRight w:val="0"/>
      <w:marTop w:val="0"/>
      <w:marBottom w:val="0"/>
      <w:divBdr>
        <w:top w:val="none" w:sz="0" w:space="0" w:color="auto"/>
        <w:left w:val="none" w:sz="0" w:space="0" w:color="auto"/>
        <w:bottom w:val="none" w:sz="0" w:space="0" w:color="auto"/>
        <w:right w:val="none" w:sz="0" w:space="0" w:color="auto"/>
      </w:divBdr>
    </w:div>
    <w:div w:id="1087580013">
      <w:bodyDiv w:val="1"/>
      <w:marLeft w:val="0"/>
      <w:marRight w:val="0"/>
      <w:marTop w:val="0"/>
      <w:marBottom w:val="0"/>
      <w:divBdr>
        <w:top w:val="none" w:sz="0" w:space="0" w:color="auto"/>
        <w:left w:val="none" w:sz="0" w:space="0" w:color="auto"/>
        <w:bottom w:val="none" w:sz="0" w:space="0" w:color="auto"/>
        <w:right w:val="none" w:sz="0" w:space="0" w:color="auto"/>
      </w:divBdr>
    </w:div>
    <w:div w:id="1232429503">
      <w:bodyDiv w:val="1"/>
      <w:marLeft w:val="0"/>
      <w:marRight w:val="0"/>
      <w:marTop w:val="0"/>
      <w:marBottom w:val="0"/>
      <w:divBdr>
        <w:top w:val="none" w:sz="0" w:space="0" w:color="auto"/>
        <w:left w:val="none" w:sz="0" w:space="0" w:color="auto"/>
        <w:bottom w:val="none" w:sz="0" w:space="0" w:color="auto"/>
        <w:right w:val="none" w:sz="0" w:space="0" w:color="auto"/>
      </w:divBdr>
    </w:div>
    <w:div w:id="1276905603">
      <w:bodyDiv w:val="1"/>
      <w:marLeft w:val="0"/>
      <w:marRight w:val="0"/>
      <w:marTop w:val="0"/>
      <w:marBottom w:val="0"/>
      <w:divBdr>
        <w:top w:val="none" w:sz="0" w:space="0" w:color="auto"/>
        <w:left w:val="none" w:sz="0" w:space="0" w:color="auto"/>
        <w:bottom w:val="none" w:sz="0" w:space="0" w:color="auto"/>
        <w:right w:val="none" w:sz="0" w:space="0" w:color="auto"/>
      </w:divBdr>
    </w:div>
    <w:div w:id="1357586455">
      <w:bodyDiv w:val="1"/>
      <w:marLeft w:val="0"/>
      <w:marRight w:val="0"/>
      <w:marTop w:val="0"/>
      <w:marBottom w:val="0"/>
      <w:divBdr>
        <w:top w:val="none" w:sz="0" w:space="0" w:color="auto"/>
        <w:left w:val="none" w:sz="0" w:space="0" w:color="auto"/>
        <w:bottom w:val="none" w:sz="0" w:space="0" w:color="auto"/>
        <w:right w:val="none" w:sz="0" w:space="0" w:color="auto"/>
      </w:divBdr>
    </w:div>
    <w:div w:id="1554073366">
      <w:bodyDiv w:val="1"/>
      <w:marLeft w:val="0"/>
      <w:marRight w:val="0"/>
      <w:marTop w:val="0"/>
      <w:marBottom w:val="0"/>
      <w:divBdr>
        <w:top w:val="none" w:sz="0" w:space="0" w:color="auto"/>
        <w:left w:val="none" w:sz="0" w:space="0" w:color="auto"/>
        <w:bottom w:val="none" w:sz="0" w:space="0" w:color="auto"/>
        <w:right w:val="none" w:sz="0" w:space="0" w:color="auto"/>
      </w:divBdr>
    </w:div>
    <w:div w:id="19946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sites/default/files/20201016b_AMSAT_report.pdf" TargetMode="External"/><Relationship Id="rId13" Type="http://schemas.openxmlformats.org/officeDocument/2006/relationships/hyperlink" Target="https://www.mencap.org.uk" TargetMode="External"/><Relationship Id="rId18" Type="http://schemas.openxmlformats.org/officeDocument/2006/relationships/hyperlink" Target="https://www.england.nhs.uk" TargetMode="External"/><Relationship Id="rId26" Type="http://schemas.openxmlformats.org/officeDocument/2006/relationships/hyperlink" Target="https://www.ucl.ac.uk" TargetMode="External"/><Relationship Id="rId3" Type="http://schemas.openxmlformats.org/officeDocument/2006/relationships/settings" Target="settings.xml"/><Relationship Id="rId21" Type="http://schemas.openxmlformats.org/officeDocument/2006/relationships/hyperlink" Target="https://www.rethink.org" TargetMode="External"/><Relationship Id="rId7" Type="http://schemas.openxmlformats.org/officeDocument/2006/relationships/hyperlink" Target="https://www.cqc.org.uk/guidance-providers/safeguarding-people" TargetMode="External"/><Relationship Id="rId12" Type="http://schemas.openxmlformats.org/officeDocument/2006/relationships/hyperlink" Target="https://www.kingsfund.org.uk/publications/what-are-health-inequalities" TargetMode="External"/><Relationship Id="rId17" Type="http://schemas.openxmlformats.org/officeDocument/2006/relationships/hyperlink" Target="https://www.nhsconfed.org" TargetMode="External"/><Relationship Id="rId25" Type="http://schemas.openxmlformats.org/officeDocument/2006/relationships/hyperlink" Target="https://www.kingsfund.org.uk" TargetMode="External"/><Relationship Id="rId2" Type="http://schemas.openxmlformats.org/officeDocument/2006/relationships/styles" Target="styles.xml"/><Relationship Id="rId16" Type="http://schemas.openxmlformats.org/officeDocument/2006/relationships/hyperlink" Target="https://www.mind.org.uk" TargetMode="External"/><Relationship Id="rId20" Type="http://schemas.openxmlformats.org/officeDocument/2006/relationships/hyperlink" Target="https://www.ons.gov.uk" TargetMode="External"/><Relationship Id="rId29" Type="http://schemas.openxmlformats.org/officeDocument/2006/relationships/hyperlink" Target="https://www.equalityhumanrigh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fund.org.uk/publications/population-health-systems" TargetMode="External"/><Relationship Id="rId24" Type="http://schemas.openxmlformats.org/officeDocument/2006/relationships/hyperlink" Target="https://www.health.org.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ntalhealth.org.uk" TargetMode="External"/><Relationship Id="rId23" Type="http://schemas.openxmlformats.org/officeDocument/2006/relationships/hyperlink" Target="https://www.scie.org.uk" TargetMode="External"/><Relationship Id="rId28" Type="http://schemas.openxmlformats.org/officeDocument/2006/relationships/hyperlink" Target="https://www.ymhf.org.uk" TargetMode="External"/><Relationship Id="rId10" Type="http://schemas.openxmlformats.org/officeDocument/2006/relationships/hyperlink" Target="https://www.kingsfund.org.uk/publications/anchor-institutions-and-peoples-health" TargetMode="External"/><Relationship Id="rId19" Type="http://schemas.openxmlformats.org/officeDocument/2006/relationships/hyperlink" Target="https://www.england.nhs.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org.uk" TargetMode="External"/><Relationship Id="rId14" Type="http://schemas.openxmlformats.org/officeDocument/2006/relationships/hyperlink" Target="https://mhfaengland.org" TargetMode="External"/><Relationship Id="rId22" Type="http://schemas.openxmlformats.org/officeDocument/2006/relationships/hyperlink" Target="https://www.rcpsych.ac.uk" TargetMode="External"/><Relationship Id="rId27" Type="http://schemas.openxmlformats.org/officeDocument/2006/relationships/hyperlink" Target="https://www.who.in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2</cp:revision>
  <dcterms:created xsi:type="dcterms:W3CDTF">2025-07-22T07:24:00Z</dcterms:created>
  <dcterms:modified xsi:type="dcterms:W3CDTF">2025-07-22T07:24:00Z</dcterms:modified>
</cp:coreProperties>
</file>